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Cs/>
          <w:i/>
          <w:i/>
          <w:iCs/>
          <w:color w:val="FF0000"/>
          <w:sz w:val="20"/>
          <w:szCs w:val="20"/>
        </w:rPr>
      </w:pPr>
      <w:r>
        <w:rPr>
          <w:rFonts w:cs="Arial" w:ascii="Arial" w:hAnsi="Arial"/>
          <w:b/>
          <w:bCs/>
          <w:i/>
          <w:iCs/>
          <w:color w:val="FF0000"/>
          <w:sz w:val="20"/>
          <w:szCs w:val="20"/>
        </w:rPr>
      </w:r>
    </w:p>
    <w:p>
      <w:pPr>
        <w:pStyle w:val="Normal"/>
        <w:jc w:val="center"/>
        <w:rPr>
          <w:rFonts w:ascii="Arial" w:hAnsi="Arial"/>
        </w:rPr>
      </w:pPr>
      <w:r>
        <w:rPr/>
        <w:drawing>
          <wp:inline distT="0" distB="0" distL="0" distR="0">
            <wp:extent cx="952500" cy="981075"/>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952500" cy="981075"/>
                    </a:xfrm>
                    <a:prstGeom prst="rect">
                      <a:avLst/>
                    </a:prstGeom>
                    <a:noFill/>
                  </pic:spPr>
                </pic:pic>
              </a:graphicData>
            </a:graphic>
          </wp:inline>
        </w:drawing>
      </w:r>
      <w:r>
        <w:rPr>
          <w:rFonts w:eastAsia="Times New Roman" w:cs="Arial" w:ascii="Arial" w:hAnsi="Arial"/>
          <w:b/>
          <w:i/>
          <w:color w:val="FF0000"/>
          <w:sz w:val="20"/>
          <w:szCs w:val="20"/>
          <w:shd w:fill="auto" w:val="clear"/>
        </w:rPr>
        <w:t xml:space="preserve"> </w:t>
      </w:r>
      <w:bookmarkStart w:id="0" w:name="_Hlk82471863"/>
    </w:p>
    <w:p>
      <w:pPr>
        <w:pStyle w:val="BodyText"/>
        <w:spacing w:lineRule="auto" w:line="312" w:before="120" w:after="288"/>
        <w:jc w:val="center"/>
        <w:rPr>
          <w:rFonts w:ascii="Arial" w:hAnsi="Arial"/>
        </w:rPr>
      </w:pPr>
      <w:r>
        <w:rPr>
          <w:rFonts w:cs="Arial" w:ascii="Arial" w:hAnsi="Arial"/>
          <w:b/>
          <w:color w:val="000000"/>
          <w:sz w:val="20"/>
          <w:szCs w:val="20"/>
          <w:shd w:fill="auto" w:val="clear"/>
        </w:rPr>
        <w:t>MINISTÉRIO DA DEFESA</w:t>
      </w:r>
    </w:p>
    <w:p>
      <w:pPr>
        <w:pStyle w:val="BodyText"/>
        <w:spacing w:before="0" w:after="0"/>
        <w:ind w:hanging="0" w:left="0" w:right="0"/>
        <w:jc w:val="center"/>
        <w:rPr>
          <w:rFonts w:ascii="Arial" w:hAnsi="Arial"/>
        </w:rPr>
      </w:pPr>
      <w:r>
        <w:rPr>
          <w:rFonts w:ascii="Arial" w:hAnsi="Arial"/>
          <w:b/>
          <w:color w:val="000000"/>
          <w:sz w:val="22"/>
          <w:shd w:fill="auto" w:val="clear"/>
        </w:rPr>
        <w:t>EXÉRCITO BRASILEIRO</w:t>
      </w:r>
    </w:p>
    <w:p>
      <w:pPr>
        <w:pStyle w:val="BodyText"/>
        <w:spacing w:before="0" w:after="0"/>
        <w:ind w:hanging="0" w:left="0" w:right="0"/>
        <w:jc w:val="center"/>
        <w:rPr>
          <w:rFonts w:ascii="Arial" w:hAnsi="Arial"/>
        </w:rPr>
      </w:pPr>
      <w:r>
        <w:rPr>
          <w:rFonts w:ascii="Arial" w:hAnsi="Arial"/>
          <w:b/>
          <w:color w:val="000000"/>
          <w:sz w:val="22"/>
          <w:shd w:fill="auto" w:val="clear"/>
        </w:rPr>
        <w:t>DEPÓSITO CENTRAL DE MUNIÇÃO</w:t>
      </w:r>
    </w:p>
    <w:p>
      <w:pPr>
        <w:pStyle w:val="BodyText"/>
        <w:spacing w:before="0" w:after="0"/>
        <w:ind w:hanging="0" w:left="0" w:right="0"/>
        <w:jc w:val="center"/>
        <w:rPr>
          <w:rFonts w:ascii="Arial" w:hAnsi="Arial"/>
        </w:rPr>
      </w:pPr>
      <w:r>
        <w:rPr>
          <w:rFonts w:ascii="Arial" w:hAnsi="Arial"/>
          <w:b/>
          <w:color w:val="000000"/>
          <w:sz w:val="22"/>
          <w:shd w:fill="auto" w:val="clear"/>
        </w:rPr>
        <w:t>(D C M B / 1918)</w:t>
      </w:r>
    </w:p>
    <w:p>
      <w:pPr>
        <w:pStyle w:val="BodyText"/>
        <w:spacing w:before="0" w:after="0"/>
        <w:ind w:hanging="0" w:left="0" w:right="0"/>
        <w:jc w:val="center"/>
        <w:rPr>
          <w:rFonts w:ascii="Arial" w:hAnsi="Arial"/>
        </w:rPr>
      </w:pPr>
      <w:r>
        <w:rPr>
          <w:rFonts w:ascii="Arial" w:hAnsi="Arial"/>
          <w:shd w:fill="auto" w:val="clear"/>
        </w:rPr>
        <w:t> </w:t>
      </w:r>
    </w:p>
    <w:p>
      <w:pPr>
        <w:pStyle w:val="BodyText"/>
        <w:spacing w:before="0" w:after="0"/>
        <w:ind w:hanging="0" w:left="0" w:right="0"/>
        <w:jc w:val="center"/>
        <w:rPr>
          <w:rFonts w:ascii="Arial" w:hAnsi="Arial"/>
        </w:rPr>
      </w:pPr>
      <w:r>
        <w:rPr>
          <w:rFonts w:ascii="Arial" w:hAnsi="Arial"/>
          <w:b/>
          <w:color w:val="000000"/>
          <w:sz w:val="24"/>
          <w:shd w:fill="auto" w:val="clear"/>
        </w:rPr>
        <w:t>PREGÃO ELETRÔNICO SRP Nº 90001/2025</w:t>
      </w:r>
    </w:p>
    <w:p>
      <w:pPr>
        <w:pStyle w:val="BodyText"/>
        <w:spacing w:before="0" w:after="0"/>
        <w:ind w:hanging="0" w:left="0" w:right="0"/>
        <w:jc w:val="center"/>
        <w:rPr>
          <w:rFonts w:ascii="Arial" w:hAnsi="Arial"/>
        </w:rPr>
      </w:pPr>
      <w:r>
        <w:rPr>
          <w:rFonts w:ascii="Arial" w:hAnsi="Arial"/>
        </w:rPr>
      </w:r>
    </w:p>
    <w:p>
      <w:pPr>
        <w:pStyle w:val="BodyText"/>
        <w:spacing w:before="0" w:after="0"/>
        <w:ind w:hanging="0" w:left="0" w:right="0"/>
        <w:jc w:val="center"/>
        <w:rPr>
          <w:rFonts w:ascii="Arial" w:hAnsi="Arial"/>
        </w:rPr>
      </w:pPr>
      <w:r>
        <w:rPr>
          <w:rFonts w:ascii="Arial" w:hAnsi="Arial"/>
          <w:shd w:fill="auto" w:val="clear"/>
        </w:rPr>
        <w:t> </w:t>
      </w:r>
    </w:p>
    <w:p>
      <w:pPr>
        <w:pStyle w:val="BodyText"/>
        <w:spacing w:before="0" w:after="0"/>
        <w:ind w:hanging="0" w:left="0" w:right="0"/>
        <w:jc w:val="center"/>
        <w:rPr>
          <w:color w:val="000000"/>
        </w:rPr>
      </w:pPr>
      <w:r>
        <w:rPr>
          <w:rFonts w:ascii="Arial" w:hAnsi="Arial"/>
          <w:b/>
          <w:color w:val="000000"/>
          <w:sz w:val="24"/>
          <w:shd w:fill="auto" w:val="clear"/>
        </w:rPr>
        <w:t>(Processo Administrativo n°</w:t>
      </w:r>
      <w:r>
        <w:rPr>
          <w:rFonts w:ascii="Arial" w:hAnsi="Arial"/>
          <w:color w:val="000000"/>
          <w:shd w:fill="auto" w:val="clear"/>
        </w:rPr>
        <w:t> </w:t>
      </w:r>
      <w:r>
        <w:rPr>
          <w:rFonts w:eastAsia="Times New Roman" w:cs="Times New Roman"/>
          <w:b/>
          <w:bCs/>
          <w:color w:val="000000"/>
          <w:sz w:val="24"/>
          <w:szCs w:val="24"/>
          <w:shd w:fill="auto" w:val="clear"/>
        </w:rPr>
        <w:t>64449.000178/2025-31</w:t>
      </w:r>
      <w:r>
        <w:rPr>
          <w:rFonts w:ascii="Arial" w:hAnsi="Arial"/>
          <w:b/>
          <w:color w:val="000000"/>
          <w:sz w:val="24"/>
          <w:shd w:fill="auto" w:val="clear"/>
        </w:rPr>
        <w:t>)</w:t>
      </w:r>
    </w:p>
    <w:p>
      <w:pPr>
        <w:pStyle w:val="Normal"/>
        <w:spacing w:lineRule="auto" w:line="312" w:before="120" w:after="288"/>
        <w:jc w:val="center"/>
        <w:rPr>
          <w:rFonts w:ascii="Arial" w:hAnsi="Arial" w:cs="Arial"/>
          <w:bCs/>
          <w:color w:val="000000"/>
          <w:sz w:val="20"/>
          <w:szCs w:val="20"/>
        </w:rPr>
      </w:pPr>
      <w:r>
        <w:rPr>
          <w:rFonts w:cs="Arial" w:ascii="Arial" w:hAnsi="Arial"/>
          <w:bCs/>
          <w:color w:val="000000"/>
          <w:sz w:val="20"/>
          <w:szCs w:val="20"/>
        </w:rPr>
      </w:r>
    </w:p>
    <w:p>
      <w:pPr>
        <w:pStyle w:val="Nivel01"/>
        <w:numPr>
          <w:ilvl w:val="0"/>
          <w:numId w:val="4"/>
        </w:numPr>
        <w:ind w:hanging="0" w:left="0"/>
        <w:rPr>
          <w:rFonts w:ascii="Arial" w:hAnsi="Arial"/>
        </w:rPr>
      </w:pPr>
      <w:r>
        <w:rPr/>
        <w:t>CONDIÇÕES GERAIS DA CONTRATAÇÃO</w:t>
      </w:r>
    </w:p>
    <w:p>
      <w:pPr>
        <w:pStyle w:val="Normal"/>
        <w:numPr>
          <w:ilvl w:val="0"/>
          <w:numId w:val="0"/>
        </w:numPr>
        <w:ind w:hanging="0" w:left="0" w:right="0"/>
        <w:jc w:val="both"/>
        <w:rPr>
          <w:color w:val="000000"/>
        </w:rPr>
      </w:pPr>
      <w:r>
        <w:rPr>
          <w:rFonts w:eastAsia="Times New Roman" w:cs="Times New Roman" w:ascii="Times New Roman" w:hAnsi="Times New Roman"/>
          <w:b w:val="false"/>
          <w:bCs w:val="false"/>
          <w:i w:val="false"/>
          <w:iCs w:val="false"/>
          <w:color w:val="000000"/>
          <w:w w:val="105"/>
          <w:sz w:val="24"/>
          <w:szCs w:val="24"/>
        </w:rPr>
        <w:t xml:space="preserve"> </w:t>
      </w:r>
      <w:r>
        <w:rPr>
          <w:rFonts w:eastAsia="Times New Roman" w:cs="Times New Roman" w:ascii="Times New Roman" w:hAnsi="Times New Roman"/>
          <w:b w:val="false"/>
          <w:bCs w:val="false"/>
          <w:i w:val="false"/>
          <w:iCs w:val="false"/>
          <w:color w:val="000000"/>
          <w:w w:val="105"/>
          <w:sz w:val="24"/>
          <w:szCs w:val="24"/>
        </w:rPr>
        <w:tab/>
        <w:t>Aquisição de material para atender as necessidades do Setor de Aprovisionamento do Depósito Central de Munição</w:t>
      </w:r>
      <w:r>
        <w:rPr>
          <w:rFonts w:eastAsia="Times New Roman" w:cs="Times New Roman" w:ascii="Times New Roman" w:hAnsi="Times New Roman"/>
          <w:b/>
          <w:bCs w:val="false"/>
          <w:i w:val="false"/>
          <w:iCs w:val="false"/>
          <w:color w:val="000000"/>
          <w:w w:val="105"/>
          <w:sz w:val="24"/>
          <w:szCs w:val="24"/>
        </w:rPr>
        <w:t>,</w:t>
      </w:r>
      <w:r>
        <w:rPr>
          <w:rFonts w:eastAsia="Times New Roman" w:cs="Times New Roman" w:ascii="Times New Roman" w:hAnsi="Times New Roman"/>
          <w:b w:val="false"/>
          <w:bCs w:val="false"/>
          <w:i w:val="false"/>
          <w:iCs w:val="false"/>
          <w:color w:val="000000"/>
          <w:w w:val="105"/>
          <w:sz w:val="24"/>
          <w:szCs w:val="24"/>
        </w:rPr>
        <w:t xml:space="preserve"> nos termos da tabela abaixo, conforme condições e exigências estabelecidas neste instrumento.</w:t>
      </w:r>
    </w:p>
    <w:tbl>
      <w:tblPr>
        <w:tblW w:w="1020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7"/>
        <w:gridCol w:w="4652"/>
        <w:gridCol w:w="677"/>
        <w:gridCol w:w="855"/>
        <w:gridCol w:w="733"/>
        <w:gridCol w:w="1242"/>
        <w:gridCol w:w="1417"/>
      </w:tblGrid>
      <w:tr>
        <w:trPr>
          <w:trHeight w:val="921" w:hRule="atLeast"/>
        </w:trPr>
        <w:tc>
          <w:tcPr>
            <w:tcW w:w="627" w:type="dxa"/>
            <w:tcBorders>
              <w:top w:val="single" w:sz="4" w:space="0" w:color="000000"/>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Item</w:t>
            </w:r>
          </w:p>
        </w:tc>
        <w:tc>
          <w:tcPr>
            <w:tcW w:w="4652" w:type="dxa"/>
            <w:tcBorders>
              <w:top w:val="single" w:sz="4" w:space="0" w:color="000000"/>
              <w:left w:val="single" w:sz="4" w:space="0" w:color="000000"/>
              <w:bottom w:val="single" w:sz="4" w:space="0" w:color="000000"/>
            </w:tcBorders>
            <w:vAlign w:val="center"/>
          </w:tcPr>
          <w:p>
            <w:pPr>
              <w:pStyle w:val="Standard"/>
              <w:ind w:hanging="0" w:left="180" w:right="0"/>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Descrição</w:t>
            </w:r>
          </w:p>
        </w:tc>
        <w:tc>
          <w:tcPr>
            <w:tcW w:w="677" w:type="dxa"/>
            <w:tcBorders>
              <w:top w:val="single" w:sz="4" w:space="0" w:color="000000"/>
              <w:left w:val="single" w:sz="4" w:space="0" w:color="000000"/>
              <w:bottom w:val="single" w:sz="4" w:space="0" w:color="000000"/>
              <w:right w:val="single" w:sz="4" w:space="0" w:color="000000"/>
            </w:tcBorders>
            <w:vAlign w:val="center"/>
          </w:tcPr>
          <w:p>
            <w:pPr>
              <w:pStyle w:val="Standard"/>
              <w:ind w:hanging="0" w:left="39" w:right="0"/>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Unidade</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CATSER</w:t>
            </w:r>
          </w:p>
        </w:tc>
        <w:tc>
          <w:tcPr>
            <w:tcW w:w="733"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Qtde</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Valor</w:t>
            </w:r>
          </w:p>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Unitário</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Valor</w:t>
            </w:r>
          </w:p>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Total</w:t>
            </w:r>
          </w:p>
        </w:tc>
      </w:tr>
      <w:tr>
        <w:trPr>
          <w:trHeight w:val="168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01</w:t>
            </w:r>
          </w:p>
        </w:tc>
        <w:tc>
          <w:tcPr>
            <w:tcW w:w="4652" w:type="dxa"/>
            <w:tcBorders>
              <w:left w:val="single" w:sz="4" w:space="0" w:color="000000"/>
              <w:bottom w:val="single" w:sz="4" w:space="0" w:color="000000"/>
            </w:tcBorders>
            <w:vAlign w:val="center"/>
          </w:tcPr>
          <w:p>
            <w:pPr>
              <w:pStyle w:val="Normal"/>
              <w:bidi w:val="0"/>
              <w:jc w:val="left"/>
              <w:rPr/>
            </w:pPr>
            <w:r>
              <w:rPr>
                <w:rFonts w:ascii="Times New Roman" w:hAnsi="Times New Roman"/>
                <w:b w:val="false"/>
                <w:i w:val="false"/>
                <w:strike w:val="false"/>
                <w:dstrike w:val="false"/>
                <w:outline w:val="false"/>
                <w:shadow w:val="false"/>
                <w:color w:val="000000"/>
                <w:sz w:val="20"/>
                <w:szCs w:val="20"/>
                <w:u w:val="none"/>
                <w:em w:val="none"/>
              </w:rPr>
              <w:t>SERVIÇO DE MANUTENÇÃO CORRETIVA EM CÂMARA FRIA COM ANTECÂMARA, INCLUSO TODO MATERIAL NECESSÁRIO PARA MANUTENÇÃO DE QUADRO DE COMANDO QUE ABRANGE 2 CONDENSADORAS. TODO O MATERIAL UTILIZADO PARA MANUTENÇÃO, FICARÁ A CARGO DA CONTRATADA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color w:val="000000"/>
                <w:sz w:val="20"/>
                <w:szCs w:val="20"/>
                <w:lang w:val="pt-BR"/>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outline w:val="false"/>
                <w:shadow w:val="false"/>
                <w:color w:val="000000"/>
                <w:spacing w:val="0"/>
                <w:sz w:val="20"/>
                <w:szCs w:val="20"/>
                <w:u w:val="none"/>
                <w:em w:val="none"/>
                <w:lang w:val="pt-BR"/>
              </w:rPr>
              <w:t>20796</w:t>
            </w:r>
          </w:p>
          <w:p>
            <w:pPr>
              <w:pStyle w:val="Normal"/>
              <w:jc w:val="center"/>
              <w:rPr>
                <w:rFonts w:ascii="Times New Roman" w:hAnsi="Times New Roman"/>
                <w:color w:val="000000"/>
                <w:sz w:val="20"/>
                <w:szCs w:val="20"/>
              </w:rPr>
            </w:pPr>
            <w:r>
              <w:rPr>
                <w:rFonts w:ascii="Times New Roman" w:hAnsi="Times New Roman"/>
                <w:color w:val="000000"/>
                <w:sz w:val="20"/>
                <w:szCs w:val="20"/>
              </w:rPr>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5</w:t>
            </w:r>
          </w:p>
        </w:tc>
        <w:tc>
          <w:tcPr>
            <w:tcW w:w="1242" w:type="dxa"/>
            <w:tcBorders>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R$ 1.206,18</w:t>
            </w:r>
          </w:p>
        </w:tc>
        <w:tc>
          <w:tcPr>
            <w:tcW w:w="1417" w:type="dxa"/>
            <w:tcBorders>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R$ 6.030,92</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02</w:t>
            </w:r>
          </w:p>
        </w:tc>
        <w:tc>
          <w:tcPr>
            <w:tcW w:w="4652" w:type="dxa"/>
            <w:tcBorders>
              <w:left w:val="single" w:sz="4" w:space="0" w:color="000000"/>
              <w:bottom w:val="single" w:sz="4" w:space="0" w:color="000000"/>
            </w:tcBorders>
            <w:vAlign w:val="center"/>
          </w:tcPr>
          <w:p>
            <w:pPr>
              <w:pStyle w:val="Normal"/>
              <w:widowControl/>
              <w:spacing w:before="0" w:after="0"/>
              <w:jc w:val="left"/>
              <w:rPr>
                <w:rFonts w:ascii="Times New Roman" w:hAnsi="Times New Roman"/>
                <w:kern w:val="0"/>
                <w:sz w:val="20"/>
                <w:szCs w:val="20"/>
              </w:rPr>
            </w:pPr>
            <w:r>
              <w:rPr>
                <w:rFonts w:eastAsia="Calibri" w:cs="Calibri" w:ascii="Times New Roman" w:hAnsi="Times New Roman"/>
                <w:b w:val="false"/>
                <w:i w:val="false"/>
                <w:strike w:val="false"/>
                <w:dstrike w:val="false"/>
                <w:outline w:val="false"/>
                <w:shadow w:val="false"/>
                <w:color w:val="000000"/>
                <w:kern w:val="0"/>
                <w:sz w:val="20"/>
                <w:szCs w:val="20"/>
                <w:u w:val="none"/>
                <w:em w:val="none"/>
              </w:rPr>
              <w:t>SERVIÇO DE</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MANUTENÇÃO</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CORRETIVA EM</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CÂMARA FRIA</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COM</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ANTE</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CÂMARA,</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 xml:space="preserve">INCLUSO TODO </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M</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ATERIAL</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NECESSÁRIO:</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SUBSTITUIÇÃO</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DO VENTILADOR</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DA</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CONDENSADORA</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DA CÂMARA DE</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CONGELAMENTO/RESFRIAMENTO.</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TODO O</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MATERIAL</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UTILIZADO PARA</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MANUTENÇÃO,</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FICARÁ A CARGO</w:t>
            </w:r>
            <w:r>
              <w:rPr>
                <w:rFonts w:eastAsia="Calibri" w:cs="Calibri" w:ascii="Times New Roman" w:hAnsi="Times New Roman"/>
                <w:b w:val="false"/>
                <w:i w:val="false"/>
                <w:strike w:val="false"/>
                <w:dstrike w:val="false"/>
                <w:outline w:val="false"/>
                <w:shadow w:val="false"/>
                <w:color w:val="000000"/>
                <w:kern w:val="0"/>
                <w:sz w:val="20"/>
                <w:szCs w:val="20"/>
                <w:u w:val="none"/>
                <w:em w:val="none"/>
                <w:lang w:val="pt-BR"/>
              </w:rPr>
              <w:t xml:space="preserve"> </w:t>
            </w:r>
            <w:r>
              <w:rPr>
                <w:rFonts w:eastAsia="Calibri" w:cs="Calibri" w:ascii="Times New Roman" w:hAnsi="Times New Roman"/>
                <w:b w:val="false"/>
                <w:i w:val="false"/>
                <w:strike w:val="false"/>
                <w:dstrike w:val="false"/>
                <w:outline w:val="false"/>
                <w:shadow w:val="false"/>
                <w:color w:val="000000"/>
                <w:kern w:val="0"/>
                <w:sz w:val="20"/>
                <w:szCs w:val="20"/>
                <w:u w:val="none"/>
                <w:em w:val="none"/>
              </w:rPr>
              <w:t>DA CONTRATADA.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color w:val="000000"/>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outline w:val="false"/>
                <w:shadow w:val="false"/>
                <w:color w:val="000000"/>
                <w:spacing w:val="0"/>
                <w:sz w:val="20"/>
                <w:szCs w:val="20"/>
                <w:u w:val="none"/>
                <w:em w:val="none"/>
                <w:lang w:val="pt-BR"/>
              </w:rPr>
              <w:t>20796</w:t>
            </w:r>
          </w:p>
          <w:p>
            <w:pPr>
              <w:pStyle w:val="Normal"/>
              <w:jc w:val="center"/>
              <w:rPr>
                <w:rFonts w:ascii="Times New Roman" w:hAnsi="Times New Roman"/>
                <w:color w:val="000000"/>
                <w:sz w:val="20"/>
                <w:szCs w:val="20"/>
              </w:rPr>
            </w:pPr>
            <w:r>
              <w:rPr>
                <w:rFonts w:ascii="Times New Roman" w:hAnsi="Times New Roman"/>
                <w:color w:val="000000"/>
                <w:sz w:val="20"/>
                <w:szCs w:val="20"/>
              </w:rPr>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5</w:t>
            </w:r>
          </w:p>
        </w:tc>
        <w:tc>
          <w:tcPr>
            <w:tcW w:w="1242" w:type="dxa"/>
            <w:tcBorders>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R$ 794,61</w:t>
            </w:r>
          </w:p>
        </w:tc>
        <w:tc>
          <w:tcPr>
            <w:tcW w:w="1417" w:type="dxa"/>
            <w:tcBorders>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R$ 3.973,03</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03</w:t>
            </w:r>
          </w:p>
        </w:tc>
        <w:tc>
          <w:tcPr>
            <w:tcW w:w="4652" w:type="dxa"/>
            <w:tcBorders>
              <w:left w:val="single" w:sz="4" w:space="0" w:color="000000"/>
              <w:bottom w:val="single" w:sz="4" w:space="0" w:color="000000"/>
            </w:tcBorders>
            <w:vAlign w:val="center"/>
          </w:tcPr>
          <w:p>
            <w:pPr>
              <w:pStyle w:val="Standard"/>
              <w:widowControl/>
              <w:spacing w:before="0" w:after="200"/>
              <w:jc w:val="left"/>
              <w:rPr>
                <w:rFonts w:ascii="Times New Roman" w:hAnsi="Times New Roman"/>
                <w:kern w:val="0"/>
                <w:sz w:val="20"/>
                <w:szCs w:val="20"/>
              </w:rPr>
            </w:pPr>
            <w:r>
              <w:rPr>
                <w:rFonts w:eastAsia="Calibri" w:cs="Calibri" w:ascii="Times New Roman" w:hAnsi="Times New Roman"/>
                <w:kern w:val="0"/>
                <w:sz w:val="20"/>
                <w:szCs w:val="20"/>
                <w:lang w:val="pt-BR"/>
              </w:rPr>
              <w:t>SERVIÇO DE MANUTENÇÃO CORRETIVA EM CÂMARA FRIA COM ANTECÂMARA</w:t>
            </w:r>
            <w:r>
              <w:rPr>
                <w:rFonts w:eastAsia="Calibri" w:cs="Calibri" w:ascii="Times New Roman" w:hAnsi="Times New Roman"/>
                <w:b w:val="false"/>
                <w:i w:val="false"/>
                <w:caps w:val="false"/>
                <w:smallCaps w:val="false"/>
                <w:strike w:val="false"/>
                <w:dstrike w:val="false"/>
                <w:color w:val="000000"/>
                <w:spacing w:val="0"/>
                <w:kern w:val="0"/>
                <w:sz w:val="20"/>
                <w:szCs w:val="20"/>
                <w:u w:val="none"/>
                <w:lang w:val="pt-BR"/>
              </w:rPr>
              <w:t>, INCLUSO TODO MATERIAL NECESSÁRIO PARA SUBSTITUIÇÃO DE BORRACHAS E VEDAÇÕES DA PORTA PADRÃO E COM PUXADOR</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Unidade</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outline w:val="false"/>
                <w:shadow w:val="false"/>
                <w:color w:val="000000"/>
                <w:spacing w:val="0"/>
                <w:sz w:val="20"/>
                <w:szCs w:val="20"/>
                <w:u w:val="none"/>
                <w:em w:val="none"/>
                <w:lang w:val="pt-BR"/>
              </w:rPr>
              <w:t>20796</w:t>
            </w:r>
          </w:p>
        </w:tc>
        <w:tc>
          <w:tcPr>
            <w:tcW w:w="733"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10</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R$ 746,38</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R$ 7.463,83</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04</w:t>
            </w:r>
          </w:p>
        </w:tc>
        <w:tc>
          <w:tcPr>
            <w:tcW w:w="4652" w:type="dxa"/>
            <w:tcBorders>
              <w:left w:val="single" w:sz="4" w:space="0" w:color="000000"/>
              <w:bottom w:val="single" w:sz="4" w:space="0" w:color="000000"/>
            </w:tcBorders>
            <w:vAlign w:val="center"/>
          </w:tcPr>
          <w:p>
            <w:pPr>
              <w:pStyle w:val="Standard"/>
              <w:widowControl/>
              <w:spacing w:before="0" w:after="200"/>
              <w:jc w:val="left"/>
              <w:rPr>
                <w:rFonts w:ascii="Times New Roman" w:hAnsi="Times New Roman"/>
                <w:kern w:val="0"/>
                <w:sz w:val="20"/>
                <w:szCs w:val="20"/>
              </w:rPr>
            </w:pPr>
            <w:r>
              <w:rPr>
                <w:rFonts w:eastAsia="Calibri" w:cs="Calibri" w:ascii="Times New Roman" w:hAnsi="Times New Roman"/>
                <w:b w:val="false"/>
                <w:i w:val="false"/>
                <w:caps w:val="false"/>
                <w:smallCaps w:val="false"/>
                <w:strike w:val="false"/>
                <w:dstrike w:val="false"/>
                <w:color w:val="000000"/>
                <w:spacing w:val="0"/>
                <w:kern w:val="0"/>
                <w:sz w:val="20"/>
                <w:szCs w:val="20"/>
                <w:u w:val="none"/>
                <w:lang w:val="pt-BR"/>
              </w:rPr>
              <w:t>SERVIÇO DE MANUTENÇÃO CORRETIVA EM CÂMARA FRIA COM ANTECÂMARA, INCLUSO TODO MA TERIAL NECESSÁRIO PARA COLOCAÇÃO DE GÁS R402B. TODO O MATERIAL UTILIZADO PARA MANUTENÇÃO, FICARÁ A CARGO DA CONTRATADA.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Unidade</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outline w:val="false"/>
                <w:shadow w:val="false"/>
                <w:color w:val="000000"/>
                <w:spacing w:val="0"/>
                <w:sz w:val="20"/>
                <w:szCs w:val="20"/>
                <w:u w:val="none"/>
                <w:em w:val="none"/>
                <w:lang w:val="pt-BR"/>
              </w:rPr>
              <w:t>20796</w:t>
            </w:r>
          </w:p>
        </w:tc>
        <w:tc>
          <w:tcPr>
            <w:tcW w:w="733"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5</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R$ 683,38</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R$ 3.416,92</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05</w:t>
            </w:r>
          </w:p>
        </w:tc>
        <w:tc>
          <w:tcPr>
            <w:tcW w:w="4652" w:type="dxa"/>
            <w:tcBorders>
              <w:left w:val="single" w:sz="4" w:space="0" w:color="000000"/>
              <w:bottom w:val="single" w:sz="4" w:space="0" w:color="000000"/>
            </w:tcBorders>
            <w:vAlign w:val="center"/>
          </w:tcPr>
          <w:p>
            <w:pPr>
              <w:pStyle w:val="Standard"/>
              <w:widowControl/>
              <w:spacing w:lineRule="auto" w:line="300" w:before="57" w:after="57"/>
              <w:jc w:val="left"/>
              <w:rPr>
                <w:rFonts w:ascii="Times New Roman" w:hAnsi="Times New Roman"/>
                <w:kern w:val="0"/>
                <w:sz w:val="20"/>
                <w:szCs w:val="20"/>
              </w:rPr>
            </w:pPr>
            <w:r>
              <w:rPr>
                <w:rFonts w:eastAsia="Calibri" w:cs="Calibri" w:ascii="Times New Roman" w:hAnsi="Times New Roman"/>
                <w:b w:val="false"/>
                <w:i w:val="false"/>
                <w:caps w:val="false"/>
                <w:smallCaps w:val="false"/>
                <w:strike w:val="false"/>
                <w:dstrike w:val="false"/>
                <w:color w:val="000000"/>
                <w:spacing w:val="0"/>
                <w:kern w:val="0"/>
                <w:sz w:val="20"/>
                <w:szCs w:val="20"/>
                <w:u w:val="none"/>
                <w:lang w:val="pt-BR"/>
              </w:rPr>
              <w:t>SERVIÇO DE MANUTENÇÃO CORRETIVA/PREVENTIVA DE EQUIPAMENTO DE REFRIGERAÇÃO DA ESPÉCIE CÂMARA FRIA (MOTOR, COMPRESSOR E PAINEL ELETRÍCO).</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Unidade</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2</w:t>
            </w:r>
            <w:r>
              <w:rPr>
                <w:rFonts w:eastAsia="Times New Roman" w:cs="Times New Roman" w:ascii="Times New Roman" w:hAnsi="Times New Roman"/>
                <w:b w:val="false"/>
                <w:i w:val="false"/>
                <w:caps w:val="false"/>
                <w:smallCaps w:val="false"/>
                <w:strike w:val="false"/>
                <w:dstrike w:val="false"/>
                <w:outline w:val="false"/>
                <w:shadow w:val="false"/>
                <w:color w:val="000000"/>
                <w:spacing w:val="0"/>
                <w:sz w:val="20"/>
                <w:szCs w:val="20"/>
                <w:u w:val="none"/>
                <w:em w:val="none"/>
                <w:lang w:val="pt-BR"/>
              </w:rPr>
              <w:t>801</w:t>
            </w:r>
          </w:p>
        </w:tc>
        <w:tc>
          <w:tcPr>
            <w:tcW w:w="733"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12</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R$ 236,67</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R$ 2.840,00</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06</w:t>
            </w:r>
          </w:p>
        </w:tc>
        <w:tc>
          <w:tcPr>
            <w:tcW w:w="4652" w:type="dxa"/>
            <w:tcBorders>
              <w:left w:val="single" w:sz="4" w:space="0" w:color="000000"/>
              <w:bottom w:val="single" w:sz="4" w:space="0" w:color="000000"/>
            </w:tcBorders>
            <w:vAlign w:val="center"/>
          </w:tcPr>
          <w:p>
            <w:pPr>
              <w:pStyle w:val="Standard"/>
              <w:widowControl/>
              <w:spacing w:lineRule="auto" w:line="300" w:before="57" w:after="57"/>
              <w:jc w:val="left"/>
              <w:rPr>
                <w:rFonts w:ascii="Times New Roman" w:hAnsi="Times New Roman"/>
                <w:kern w:val="0"/>
                <w:sz w:val="20"/>
                <w:szCs w:val="20"/>
              </w:rPr>
            </w:pPr>
            <w:r>
              <w:rPr>
                <w:rFonts w:eastAsia="Calibri" w:cs="Calibri" w:ascii="Times New Roman" w:hAnsi="Times New Roman"/>
                <w:b w:val="false"/>
                <w:i w:val="false"/>
                <w:caps w:val="false"/>
                <w:smallCaps w:val="false"/>
                <w:strike w:val="false"/>
                <w:dstrike w:val="false"/>
                <w:color w:val="000000"/>
                <w:spacing w:val="0"/>
                <w:kern w:val="0"/>
                <w:sz w:val="20"/>
                <w:szCs w:val="20"/>
                <w:u w:val="none"/>
                <w:lang w:val="pt-BR"/>
              </w:rPr>
              <w:t>SERVIÇO DE MANUTENÇÃO CORRETIVA DA CÂMARA FRIGORÍFICA DO SETOR DE APROVISIONAMENTO: SUBSTITUIÇÃO DE 01 (UM) DE COMPRESSOR HERMÉTICO</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Unidade</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outline w:val="false"/>
                <w:shadow w:val="false"/>
                <w:color w:val="000000"/>
                <w:spacing w:val="0"/>
                <w:sz w:val="20"/>
                <w:szCs w:val="20"/>
                <w:u w:val="none"/>
                <w:em w:val="none"/>
                <w:lang w:val="pt-BR"/>
              </w:rPr>
              <w:t>20796</w:t>
            </w:r>
          </w:p>
        </w:tc>
        <w:tc>
          <w:tcPr>
            <w:tcW w:w="733"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5</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R$ 10.333,33</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R$ 51.666,67</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07</w:t>
            </w:r>
          </w:p>
        </w:tc>
        <w:tc>
          <w:tcPr>
            <w:tcW w:w="4652" w:type="dxa"/>
            <w:tcBorders>
              <w:left w:val="single" w:sz="4" w:space="0" w:color="000000"/>
              <w:bottom w:val="single" w:sz="4" w:space="0" w:color="000000"/>
            </w:tcBorders>
            <w:vAlign w:val="center"/>
          </w:tcPr>
          <w:p>
            <w:pPr>
              <w:pStyle w:val="Standard"/>
              <w:widowControl/>
              <w:spacing w:lineRule="auto" w:line="300" w:before="57" w:after="57"/>
              <w:jc w:val="left"/>
              <w:rPr>
                <w:rFonts w:ascii="Times New Roman" w:hAnsi="Times New Roman"/>
                <w:kern w:val="0"/>
                <w:sz w:val="20"/>
                <w:szCs w:val="20"/>
              </w:rPr>
            </w:pPr>
            <w:r>
              <w:rPr>
                <w:rFonts w:eastAsia="Calibri" w:cs="Calibri" w:ascii="Times New Roman" w:hAnsi="Times New Roman"/>
                <w:b w:val="false"/>
                <w:i w:val="false"/>
                <w:caps w:val="false"/>
                <w:smallCaps w:val="false"/>
                <w:strike w:val="false"/>
                <w:dstrike w:val="false"/>
                <w:color w:val="000000"/>
                <w:spacing w:val="0"/>
                <w:kern w:val="0"/>
                <w:sz w:val="20"/>
                <w:szCs w:val="20"/>
                <w:u w:val="none"/>
                <w:lang w:val="pt-BR"/>
              </w:rPr>
              <w:t>SERVIÇO DE MANUTENÇÃO CORRETIVA DA CÂMARA FRIGORIFICA DE CONGELAMENTO - SUBSTITUIÇÃO DO MOTOR DO VENTILADOR DO EVAPORADOR</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Unidade</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2</w:t>
            </w:r>
            <w:r>
              <w:rPr>
                <w:rFonts w:eastAsia="Times New Roman" w:cs="Times New Roman" w:ascii="Times New Roman" w:hAnsi="Times New Roman"/>
                <w:b w:val="false"/>
                <w:i w:val="false"/>
                <w:caps w:val="false"/>
                <w:smallCaps w:val="false"/>
                <w:strike w:val="false"/>
                <w:dstrike w:val="false"/>
                <w:outline w:val="false"/>
                <w:shadow w:val="false"/>
                <w:color w:val="000000"/>
                <w:spacing w:val="0"/>
                <w:sz w:val="20"/>
                <w:szCs w:val="20"/>
                <w:u w:val="none"/>
                <w:em w:val="none"/>
                <w:lang w:val="pt-BR"/>
              </w:rPr>
              <w:t>216</w:t>
            </w:r>
          </w:p>
        </w:tc>
        <w:tc>
          <w:tcPr>
            <w:tcW w:w="733"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8</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kern w:val="0"/>
                <w:sz w:val="20"/>
                <w:szCs w:val="20"/>
                <w:u w:val="none"/>
                <w:em w:val="none"/>
                <w:lang w:val="pt-BR"/>
              </w:rPr>
              <w:t>340,00</w:t>
            </w:r>
          </w:p>
          <w:p>
            <w:pPr>
              <w:pStyle w:val="Normal"/>
              <w:rPr>
                <w:rFonts w:ascii="Times New Roman" w:hAnsi="Times New Roman"/>
                <w:color w:val="000000"/>
                <w:sz w:val="20"/>
                <w:szCs w:val="20"/>
              </w:rPr>
            </w:pPr>
            <w:r>
              <w:rPr>
                <w:rFonts w:ascii="Times New Roman" w:hAnsi="Times New Roman"/>
                <w:color w:val="000000"/>
                <w:sz w:val="20"/>
                <w:szCs w:val="20"/>
              </w:rPr>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kern w:val="0"/>
                <w:sz w:val="20"/>
                <w:szCs w:val="20"/>
                <w:u w:val="none"/>
                <w:em w:val="none"/>
                <w:lang w:val="pt-BR"/>
              </w:rPr>
              <w:t>2.720,00</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08</w:t>
            </w:r>
          </w:p>
        </w:tc>
        <w:tc>
          <w:tcPr>
            <w:tcW w:w="4652" w:type="dxa"/>
            <w:tcBorders>
              <w:left w:val="single" w:sz="4" w:space="0" w:color="000000"/>
              <w:bottom w:val="single" w:sz="4" w:space="0" w:color="000000"/>
            </w:tcBorders>
            <w:vAlign w:val="center"/>
          </w:tcPr>
          <w:p>
            <w:pPr>
              <w:pStyle w:val="Standard"/>
              <w:widowControl/>
              <w:spacing w:lineRule="auto" w:line="300" w:before="57" w:after="57"/>
              <w:jc w:val="left"/>
              <w:rPr>
                <w:rFonts w:ascii="Times New Roman" w:hAnsi="Times New Roman"/>
                <w:kern w:val="0"/>
                <w:sz w:val="20"/>
                <w:szCs w:val="20"/>
              </w:rPr>
            </w:pPr>
            <w:r>
              <w:rPr>
                <w:rFonts w:eastAsia="Calibri" w:cs="Calibri" w:ascii="Times New Roman" w:hAnsi="Times New Roman"/>
                <w:b w:val="false"/>
                <w:i w:val="false"/>
                <w:caps w:val="false"/>
                <w:smallCaps w:val="false"/>
                <w:strike w:val="false"/>
                <w:dstrike w:val="false"/>
                <w:color w:val="000000"/>
                <w:spacing w:val="0"/>
                <w:kern w:val="0"/>
                <w:sz w:val="20"/>
                <w:szCs w:val="20"/>
                <w:u w:val="none"/>
                <w:lang w:val="pt-BR"/>
              </w:rPr>
              <w:t>MANUTENÇÃO DE GELADEIRAS E BEBEDOUROS: CÂMARA FRIGORIFICA DE CONGELAMENTO - SUBSTITUIÇÃO DO CONTROLADOR ELETRÔNICO DE TRABALHO E TEMPERATURAS</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3506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5</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531,67</w:t>
            </w:r>
          </w:p>
          <w:p>
            <w:pPr>
              <w:pStyle w:val="Normal"/>
              <w:bidi w:val="0"/>
              <w:jc w:val="center"/>
              <w:rPr>
                <w:rFonts w:ascii="Times New Roman" w:hAnsi="Times New Roman"/>
                <w:color w:val="000000"/>
                <w:sz w:val="20"/>
                <w:szCs w:val="20"/>
              </w:rPr>
            </w:pPr>
            <w:r>
              <w:rPr>
                <w:rFonts w:ascii="Times New Roman" w:hAnsi="Times New Roman"/>
                <w:color w:val="000000"/>
                <w:sz w:val="20"/>
                <w:szCs w:val="20"/>
              </w:rPr>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2.658,33</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09</w:t>
            </w:r>
          </w:p>
        </w:tc>
        <w:tc>
          <w:tcPr>
            <w:tcW w:w="4652" w:type="dxa"/>
            <w:tcBorders>
              <w:left w:val="single" w:sz="4" w:space="0" w:color="000000"/>
              <w:bottom w:val="single" w:sz="4" w:space="0" w:color="000000"/>
            </w:tcBorders>
            <w:vAlign w:val="center"/>
          </w:tcPr>
          <w:p>
            <w:pPr>
              <w:pStyle w:val="Standard"/>
              <w:widowControl/>
              <w:spacing w:lineRule="auto" w:line="300" w:before="57" w:after="57"/>
              <w:jc w:val="left"/>
              <w:rPr>
                <w:rFonts w:ascii="Times New Roman" w:hAnsi="Times New Roman"/>
                <w:kern w:val="0"/>
                <w:sz w:val="20"/>
                <w:szCs w:val="20"/>
              </w:rPr>
            </w:pPr>
            <w:r>
              <w:rPr>
                <w:rFonts w:eastAsia="Calibri" w:cs="Calibri" w:ascii="Times New Roman" w:hAnsi="Times New Roman"/>
                <w:b w:val="false"/>
                <w:i w:val="false"/>
                <w:caps w:val="false"/>
                <w:smallCaps w:val="false"/>
                <w:strike w:val="false"/>
                <w:dstrike w:val="false"/>
                <w:color w:val="000000"/>
                <w:spacing w:val="0"/>
                <w:kern w:val="0"/>
                <w:sz w:val="20"/>
                <w:szCs w:val="20"/>
                <w:u w:val="none"/>
                <w:lang w:val="pt-BR"/>
              </w:rPr>
              <w:t>SERVIÇO DE MANUTENÇÃO CORRETIVA EM CÂMARA FRIGORÍFICA COM CAPACIDADE DE 20 TONELADAS, COM SUBSTITUIÇÃO DE 01 (UM) MOTOR VENTILADOR DA UNIDADE CONDENSADORA. TODO O MATERIAL FORNECIDO PELA EMPRESA.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2216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2</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938,67</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1.877,83</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10</w:t>
            </w:r>
          </w:p>
        </w:tc>
        <w:tc>
          <w:tcPr>
            <w:tcW w:w="4652" w:type="dxa"/>
            <w:tcBorders>
              <w:left w:val="single" w:sz="4" w:space="0" w:color="000000"/>
              <w:bottom w:val="single" w:sz="4" w:space="0" w:color="000000"/>
            </w:tcBorders>
            <w:vAlign w:val="center"/>
          </w:tcPr>
          <w:p>
            <w:pPr>
              <w:pStyle w:val="Standard"/>
              <w:widowControl/>
              <w:spacing w:lineRule="auto" w:line="300" w:before="57" w:after="57"/>
              <w:jc w:val="left"/>
              <w:rPr>
                <w:rFonts w:ascii="Times New Roman" w:hAnsi="Times New Roman"/>
                <w:kern w:val="0"/>
                <w:sz w:val="20"/>
                <w:szCs w:val="20"/>
              </w:rPr>
            </w:pPr>
            <w:r>
              <w:rPr>
                <w:rFonts w:eastAsia="Calibri" w:cs="Calibri" w:ascii="Times New Roman" w:hAnsi="Times New Roman"/>
                <w:b w:val="false"/>
                <w:i w:val="false"/>
                <w:caps w:val="false"/>
                <w:smallCaps w:val="false"/>
                <w:strike w:val="false"/>
                <w:dstrike w:val="false"/>
                <w:color w:val="000000"/>
                <w:spacing w:val="0"/>
                <w:kern w:val="0"/>
                <w:sz w:val="20"/>
                <w:szCs w:val="20"/>
                <w:u w:val="none"/>
                <w:lang w:val="pt-BR"/>
              </w:rPr>
              <w:t>SERVIÇO DE MANUTENÇÃO CORRETIVA EM CÂMARA FRIGORÍFICA COM CAPACIDADE DE 20 TONELADAS, COM SUBSTITUIÇÃO DE 01 (UM) RESISTÊNCIA DE DEGELO. TODO O MATERIAL FOR NECIDO PELA EMPRESA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2216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8</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466,67</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3.733,33</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11</w:t>
            </w:r>
          </w:p>
        </w:tc>
        <w:tc>
          <w:tcPr>
            <w:tcW w:w="4652" w:type="dxa"/>
            <w:tcBorders>
              <w:left w:val="single" w:sz="4" w:space="0" w:color="000000"/>
              <w:bottom w:val="single" w:sz="4" w:space="0" w:color="000000"/>
            </w:tcBorders>
            <w:vAlign w:val="center"/>
          </w:tcPr>
          <w:p>
            <w:pPr>
              <w:pStyle w:val="Standard"/>
              <w:widowControl/>
              <w:spacing w:lineRule="auto" w:line="300" w:before="57" w:after="57"/>
              <w:jc w:val="left"/>
              <w:rPr>
                <w:rFonts w:ascii="Times New Roman" w:hAnsi="Times New Roman"/>
                <w:kern w:val="0"/>
                <w:sz w:val="20"/>
                <w:szCs w:val="20"/>
              </w:rPr>
            </w:pPr>
            <w:r>
              <w:rPr>
                <w:rFonts w:eastAsia="Calibri" w:cs="Calibri" w:ascii="Times New Roman" w:hAnsi="Times New Roman"/>
                <w:b w:val="false"/>
                <w:i w:val="false"/>
                <w:caps w:val="false"/>
                <w:smallCaps w:val="false"/>
                <w:strike w:val="false"/>
                <w:dstrike w:val="false"/>
                <w:color w:val="000000"/>
                <w:spacing w:val="0"/>
                <w:kern w:val="0"/>
                <w:sz w:val="20"/>
                <w:szCs w:val="20"/>
                <w:u w:val="none"/>
                <w:lang w:val="pt-BR"/>
              </w:rPr>
              <w:t>SERVIÇO DE MANUTENÇÃO CORRETTVA EM EQUIPAMENTO DE COZINHA FOGÃO INDUSTRIAL DE 6 A 8 BOCAS , EM  AÇO INCLUSO TODO MATERIAL NECESSÁRIO A INSTALAÇÃO : REPARO NOS REGULADORES DE GÁS , TODO O MATERIAL UTILIZADO PARA  MANUTENÇÃO , FICARÁ A CARGO DA CONTRADA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3670</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6</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508,60</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3.051,60</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12</w:t>
            </w:r>
          </w:p>
        </w:tc>
        <w:tc>
          <w:tcPr>
            <w:tcW w:w="4652" w:type="dxa"/>
            <w:tcBorders>
              <w:left w:val="single" w:sz="4" w:space="0" w:color="000000"/>
              <w:bottom w:val="single" w:sz="4" w:space="0" w:color="000000"/>
            </w:tcBorders>
            <w:vAlign w:val="center"/>
          </w:tcPr>
          <w:p>
            <w:pPr>
              <w:pStyle w:val="Standard"/>
              <w:widowControl/>
              <w:spacing w:lineRule="auto" w:line="300" w:before="57" w:afterAutospacing="0" w:after="0"/>
              <w:ind w:hanging="0" w:left="0" w:right="0"/>
              <w:jc w:val="left"/>
              <w:rPr>
                <w:rFonts w:ascii="Times New Roman" w:hAnsi="Times New Roman"/>
                <w:kern w:val="0"/>
                <w:sz w:val="20"/>
                <w:szCs w:val="20"/>
              </w:rPr>
            </w:pPr>
            <w:r>
              <w:rPr>
                <w:rFonts w:eastAsia="Calibri" w:cs="Calibri" w:ascii="Times New Roman" w:hAnsi="Times New Roman"/>
                <w:b w:val="false"/>
                <w:i w:val="false"/>
                <w:caps w:val="false"/>
                <w:smallCaps w:val="false"/>
                <w:strike w:val="false"/>
                <w:dstrike w:val="false"/>
                <w:color w:val="000000"/>
                <w:spacing w:val="0"/>
                <w:kern w:val="0"/>
                <w:sz w:val="20"/>
                <w:szCs w:val="20"/>
                <w:u w:val="none"/>
                <w:lang w:val="pt-BR"/>
              </w:rPr>
              <w:t>QUALIFICAÇÃO DO FREEZER ELETROLUX H500. FAIXA: - 25C A -15 C. - CALIBRAÇÃO DO SENSOR DE TEMPERATURA E UMIDADE, 01 ENSAIO DE 24 HORAS COM CARGA TESTE DE QUEDA DE ENERGIA E ABERTURA DE PORTA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14427</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12</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774,78</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9.297,32</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13</w:t>
            </w:r>
          </w:p>
        </w:tc>
        <w:tc>
          <w:tcPr>
            <w:tcW w:w="4652" w:type="dxa"/>
            <w:tcBorders>
              <w:left w:val="single" w:sz="4" w:space="0" w:color="000000"/>
              <w:bottom w:val="single" w:sz="4" w:space="0" w:color="000000"/>
            </w:tcBorders>
            <w:vAlign w:val="center"/>
          </w:tcPr>
          <w:p>
            <w:pPr>
              <w:pStyle w:val="Standard"/>
              <w:widowControl/>
              <w:spacing w:lineRule="auto" w:line="300" w:before="57" w:afterAutospacing="0" w:after="0"/>
              <w:ind w:hanging="0" w:left="0" w:right="0"/>
              <w:jc w:val="left"/>
              <w:rPr>
                <w:rFonts w:ascii="Times New Roman" w:hAnsi="Times New Roman"/>
                <w:kern w:val="0"/>
                <w:sz w:val="20"/>
                <w:szCs w:val="20"/>
              </w:rPr>
            </w:pPr>
            <w:r>
              <w:rPr>
                <w:rFonts w:eastAsia="Calibri" w:cs="Calibri" w:ascii="Times New Roman" w:hAnsi="Times New Roman"/>
                <w:kern w:val="0"/>
                <w:sz w:val="20"/>
                <w:szCs w:val="20"/>
                <w:lang w:val="pt-BR"/>
              </w:rPr>
              <w:t>SERVIÇO DE MANUTENÇÃO CORRETIVA EM APARELHOS DE REFRIGERAÇÃO:FREEZER MARCA ELECTROLUX,CÔNSUL OU SIMILAR, INCLUSO TODO MATERIAL NECESSÁRIO: TROCA DE BORRACHAS E  VEDAÇÃO DE FREEZER CAPACIDADE MAIOR QUE 400L. TODO O MATERIAL UTILIZADO PARA MANUTENÇÃO, FICARÁ A CARGO DA CONTRATADA.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3506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12</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580,47</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6.965,60</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14</w:t>
            </w:r>
          </w:p>
        </w:tc>
        <w:tc>
          <w:tcPr>
            <w:tcW w:w="4652" w:type="dxa"/>
            <w:tcBorders>
              <w:left w:val="single" w:sz="4" w:space="0" w:color="000000"/>
              <w:bottom w:val="single" w:sz="4" w:space="0" w:color="000000"/>
            </w:tcBorders>
            <w:vAlign w:val="center"/>
          </w:tcPr>
          <w:p>
            <w:pPr>
              <w:pStyle w:val="Standard"/>
              <w:widowControl/>
              <w:spacing w:lineRule="auto" w:line="300" w:before="57" w:afterAutospacing="0" w:after="0"/>
              <w:ind w:hanging="0" w:left="0" w:right="0"/>
              <w:jc w:val="left"/>
              <w:rPr>
                <w:rFonts w:ascii="Times New Roman" w:hAnsi="Times New Roman"/>
                <w:kern w:val="0"/>
                <w:sz w:val="20"/>
                <w:szCs w:val="20"/>
              </w:rPr>
            </w:pPr>
            <w:r>
              <w:rPr>
                <w:rFonts w:eastAsia="Calibri" w:cs="Calibri" w:ascii="Times New Roman" w:hAnsi="Times New Roman"/>
                <w:kern w:val="0"/>
                <w:sz w:val="20"/>
                <w:szCs w:val="20"/>
                <w:lang w:val="pt-BR"/>
              </w:rPr>
              <w:t>SERVIÇO DE MANUTENÇÃO CORRETIVA EM APARELHOS DE REFRIGERAÇAÕ, MARCA ELECTROLUX, CÔNSUL OU SIMILAR, INCLUSO TODO MATERIAL NECESSÁRIO: SUBSTITUIÇÃO DE COMPRESSORES, FILTROS E CÂNULAS E MANGUEIRAS DE FREEZER CAPACIDADE MAIOR QUE 400L.TODO O MATERIAL UTILIZADO PARA MANUTENÇAÕ  FICARÁ A CARGO DA CONTRADA .</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3506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12</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707,27</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8.487,20</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15</w:t>
            </w:r>
          </w:p>
        </w:tc>
        <w:tc>
          <w:tcPr>
            <w:tcW w:w="4652" w:type="dxa"/>
            <w:tcBorders>
              <w:left w:val="single" w:sz="4" w:space="0" w:color="000000"/>
              <w:bottom w:val="single" w:sz="4" w:space="0" w:color="000000"/>
            </w:tcBorders>
            <w:vAlign w:val="center"/>
          </w:tcPr>
          <w:p>
            <w:pPr>
              <w:pStyle w:val="Standard"/>
              <w:widowControl/>
              <w:spacing w:lineRule="auto" w:line="300" w:before="57" w:afterAutospacing="0" w:after="0"/>
              <w:ind w:hanging="0" w:left="0" w:right="0"/>
              <w:jc w:val="left"/>
              <w:rPr>
                <w:rFonts w:ascii="Times New Roman" w:hAnsi="Times New Roman"/>
                <w:kern w:val="0"/>
                <w:sz w:val="20"/>
                <w:szCs w:val="20"/>
              </w:rPr>
            </w:pPr>
            <w:r>
              <w:rPr>
                <w:rFonts w:eastAsia="Calibri" w:cs="Calibri" w:ascii="Times New Roman" w:hAnsi="Times New Roman"/>
                <w:kern w:val="0"/>
                <w:sz w:val="20"/>
                <w:szCs w:val="20"/>
                <w:lang w:val="pt-BR"/>
              </w:rPr>
              <w:t>SERVIÇO DE MANUTENÇÃO CORRETIVA EM APARELHOS DE REFRIGERAÇÃO: FREEZER MARCA ELECTROLUX, CÔNSUL OU SIMILAR, INCLUSO TODO MATERIAL SUBSTITUIÇÃO DE PORTAS COMUNS E DE VIDRO DE FREEZER CAPACIDADE MAIOR QUE 400L. TODO O MATERIAL UTILIZADO PARA MANUTENÇÃO, FICARÁ A CARGO DA CONTRATADA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3506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6</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722,87</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4.337,20</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16</w:t>
            </w:r>
          </w:p>
        </w:tc>
        <w:tc>
          <w:tcPr>
            <w:tcW w:w="4652" w:type="dxa"/>
            <w:tcBorders>
              <w:left w:val="single" w:sz="4" w:space="0" w:color="000000"/>
              <w:bottom w:val="single" w:sz="4" w:space="0" w:color="000000"/>
            </w:tcBorders>
            <w:vAlign w:val="center"/>
          </w:tcPr>
          <w:p>
            <w:pPr>
              <w:pStyle w:val="Standard"/>
              <w:widowControl/>
              <w:spacing w:lineRule="auto" w:line="300" w:before="57" w:afterAutospacing="0" w:after="0"/>
              <w:ind w:hanging="0" w:left="0" w:right="0"/>
              <w:jc w:val="left"/>
              <w:rPr>
                <w:rFonts w:ascii="Times New Roman" w:hAnsi="Times New Roman"/>
                <w:kern w:val="0"/>
                <w:sz w:val="20"/>
                <w:szCs w:val="20"/>
              </w:rPr>
            </w:pPr>
            <w:r>
              <w:rPr>
                <w:rFonts w:eastAsia="Calibri" w:cs="Calibri" w:ascii="Times New Roman" w:hAnsi="Times New Roman"/>
                <w:kern w:val="0"/>
                <w:sz w:val="20"/>
                <w:szCs w:val="20"/>
                <w:lang w:val="pt-BR"/>
              </w:rPr>
              <w:t>SERVIÇO DE MANUTENÇÃO CORRETIVA EM EQUIPAMENTO DE PADARIA MODELADORA DE PÃES, MARCA VENÂNCIO OU SIMILAR, INCLUINDO SUBSTITUIÇÃO DE TODAS AS PEÇAS E COMPONENTES AVARIADOS: TROCA DE CORREIA, CORRENTE, ROLOS E ROLAMENTOS. TODO O MATERIAL UTILIZADO PARA MANUTENÇÃO, FICARÁ A CARGO DA CONTRATADA.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3670</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4</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766,57</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3.066,27</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17</w:t>
            </w:r>
          </w:p>
        </w:tc>
        <w:tc>
          <w:tcPr>
            <w:tcW w:w="4652" w:type="dxa"/>
            <w:tcBorders>
              <w:left w:val="single" w:sz="4" w:space="0" w:color="000000"/>
              <w:bottom w:val="single" w:sz="4" w:space="0" w:color="000000"/>
            </w:tcBorders>
            <w:vAlign w:val="center"/>
          </w:tcPr>
          <w:p>
            <w:pPr>
              <w:pStyle w:val="Standard"/>
              <w:widowControl/>
              <w:spacing w:lineRule="auto" w:line="300" w:before="57" w:afterAutospacing="0" w:after="0"/>
              <w:ind w:hanging="0" w:left="0" w:right="0"/>
              <w:jc w:val="left"/>
              <w:rPr>
                <w:rFonts w:ascii="Times New Roman" w:hAnsi="Times New Roman"/>
                <w:kern w:val="0"/>
                <w:sz w:val="20"/>
                <w:szCs w:val="20"/>
              </w:rPr>
            </w:pPr>
            <w:r>
              <w:rPr>
                <w:rFonts w:eastAsia="Calibri" w:cs="Calibri" w:ascii="Times New Roman" w:hAnsi="Times New Roman"/>
                <w:kern w:val="0"/>
                <w:sz w:val="20"/>
                <w:szCs w:val="20"/>
                <w:lang w:val="pt-BR"/>
              </w:rPr>
              <w:t>SERVIÇO DE MANUTENÇÃO CORRETIVA EM EQUIPAMENTO DE PADARIA MODELADORA DE PÃES MARCA VENÂNCIO OU SIMILAR, MANUTENÇÃO EM TODO SISTEMA ELÉTRICO TODO O MATERIAL UTILIZADO PARA MANUTENÇÃO, FICARÁ A CARGO DA CONTRATADA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3670</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4</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279,67</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R$</w:t>
            </w:r>
            <w:r>
              <w:rPr>
                <w:rFonts w:eastAsia="Times New Roman" w:cs="Times New Roman" w:ascii="Times New Roman" w:hAnsi="Times New Roman"/>
                <w:b/>
                <w:bCs/>
                <w:i w:val="false"/>
                <w:iCs w:val="false"/>
                <w:caps w:val="false"/>
                <w:smallCaps w:val="false"/>
                <w:strike w:val="false"/>
                <w:dstrike w:val="false"/>
                <w:outline w:val="false"/>
                <w:shadow w:val="false"/>
                <w:color w:val="000000"/>
                <w:spacing w:val="0"/>
                <w:sz w:val="20"/>
                <w:szCs w:val="20"/>
                <w:u w:val="none"/>
                <w:em w:val="none"/>
                <w:lang w:val="pt-BR"/>
              </w:rPr>
              <w:t xml:space="preserve"> </w:t>
            </w:r>
            <w:r>
              <w:rPr>
                <w:rFonts w:ascii="Times New Roman" w:hAnsi="Times New Roman"/>
                <w:color w:val="000000"/>
                <w:sz w:val="20"/>
                <w:szCs w:val="20"/>
              </w:rPr>
              <w:t>1.118,67</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18</w:t>
            </w:r>
          </w:p>
        </w:tc>
        <w:tc>
          <w:tcPr>
            <w:tcW w:w="4652" w:type="dxa"/>
            <w:tcBorders>
              <w:left w:val="single" w:sz="4" w:space="0" w:color="000000"/>
              <w:bottom w:val="single" w:sz="4" w:space="0" w:color="000000"/>
            </w:tcBorders>
            <w:vAlign w:val="center"/>
          </w:tcPr>
          <w:p>
            <w:pPr>
              <w:pStyle w:val="Standard"/>
              <w:widowControl/>
              <w:spacing w:lineRule="auto" w:line="300" w:before="57" w:afterAutospacing="0" w:after="0"/>
              <w:ind w:hanging="0" w:left="0" w:right="0"/>
              <w:jc w:val="left"/>
              <w:rPr>
                <w:rFonts w:ascii="Times New Roman" w:hAnsi="Times New Roman"/>
                <w:kern w:val="0"/>
                <w:sz w:val="20"/>
                <w:szCs w:val="20"/>
              </w:rPr>
            </w:pPr>
            <w:r>
              <w:rPr>
                <w:rFonts w:eastAsia="Calibri" w:cs="Calibri" w:ascii="Times New Roman" w:hAnsi="Times New Roman"/>
                <w:kern w:val="0"/>
                <w:sz w:val="20"/>
                <w:szCs w:val="20"/>
                <w:lang w:val="pt-BR"/>
              </w:rPr>
              <w:t>SERVIÇO DE MANUTENÇÃO PREVENTIVA EM UM FORNO TURBO A GÁS MARCA: PROGÁS, MODELO PRP-5000, VOLTAGEM 220. O SERVIÇO DEVERÁ SER EXECUTADO COM EMPREGO DE PEÇA O RIGINAL, NOVA. TODAS AS DESPESAS, INCLUSIVE COM FORNECIMENTO DE MATERIAL POR CONTA DA CONTRATADA.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3670</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9</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324,00</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2.916,00</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19</w:t>
            </w:r>
          </w:p>
        </w:tc>
        <w:tc>
          <w:tcPr>
            <w:tcW w:w="4652" w:type="dxa"/>
            <w:tcBorders>
              <w:left w:val="single" w:sz="4" w:space="0" w:color="000000"/>
              <w:bottom w:val="single" w:sz="4" w:space="0" w:color="000000"/>
            </w:tcBorders>
            <w:vAlign w:val="center"/>
          </w:tcPr>
          <w:p>
            <w:pPr>
              <w:pStyle w:val="Standard"/>
              <w:widowControl/>
              <w:spacing w:lineRule="auto" w:line="300" w:before="57" w:afterAutospacing="0" w:after="0"/>
              <w:ind w:hanging="0" w:left="0" w:right="0"/>
              <w:jc w:val="left"/>
              <w:rPr>
                <w:rFonts w:ascii="Times New Roman" w:hAnsi="Times New Roman"/>
                <w:kern w:val="0"/>
                <w:sz w:val="20"/>
                <w:szCs w:val="20"/>
              </w:rPr>
            </w:pPr>
            <w:r>
              <w:rPr>
                <w:rFonts w:eastAsia="Calibri" w:cs="Calibri" w:ascii="Times New Roman" w:hAnsi="Times New Roman"/>
                <w:kern w:val="0"/>
                <w:sz w:val="20"/>
                <w:szCs w:val="20"/>
                <w:lang w:val="pt-BR"/>
              </w:rPr>
              <w:t>SERVIÇO DE MANUTENÇÃO CORRETIVA EM FORNO INDUSTRIAL TURBO GÁS, 5 A 10 ESTEIRAS, MARCA VENÂNCIO OU SIMILAR: LIMPEZA E REPAROS DE QUEIMADORES E REVISÃO NO SISTEMA ELÉTRICO. TODO O MATERIAL UTILIZADO PARA MANUTENÇÃO, FICARÁ A CARGO DA CONTRATADA.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3670</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6</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1.986,67</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11.920,00</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20</w:t>
            </w:r>
          </w:p>
        </w:tc>
        <w:tc>
          <w:tcPr>
            <w:tcW w:w="4652" w:type="dxa"/>
            <w:tcBorders>
              <w:left w:val="single" w:sz="4" w:space="0" w:color="000000"/>
              <w:bottom w:val="single" w:sz="4" w:space="0" w:color="000000"/>
            </w:tcBorders>
            <w:vAlign w:val="center"/>
          </w:tcPr>
          <w:p>
            <w:pPr>
              <w:pStyle w:val="Standard"/>
              <w:widowControl/>
              <w:spacing w:lineRule="auto" w:line="300" w:before="57" w:afterAutospacing="0" w:after="0"/>
              <w:ind w:hanging="0" w:left="0" w:right="0"/>
              <w:jc w:val="left"/>
              <w:rPr>
                <w:rFonts w:ascii="Times New Roman" w:hAnsi="Times New Roman"/>
                <w:kern w:val="0"/>
                <w:sz w:val="20"/>
                <w:szCs w:val="20"/>
              </w:rPr>
            </w:pPr>
            <w:r>
              <w:rPr>
                <w:rFonts w:eastAsia="Calibri" w:cs="Calibri" w:ascii="Times New Roman" w:hAnsi="Times New Roman"/>
                <w:kern w:val="0"/>
                <w:sz w:val="20"/>
                <w:szCs w:val="20"/>
                <w:lang w:val="pt-BR"/>
              </w:rPr>
              <w:t>SERVIÇO DE MANUTENÇÃO CORRETIVA EM PASS THROUGH, CAPACIDADE 20 GN, 1500W, MARCA FRILUX OU SIMILAR: TROCA DE RESISTÊNCIA E TERMOSTATO. TODO O MATERIAL UTILIZADO PARA MANUTENÇÃO, FICARÁ A CARGO DA CONTRATADA.</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3670</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2</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1.043,67</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2.087,33</w:t>
            </w:r>
          </w:p>
        </w:tc>
      </w:tr>
      <w:tr>
        <w:trPr>
          <w:trHeight w:val="33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21</w:t>
            </w:r>
          </w:p>
        </w:tc>
        <w:tc>
          <w:tcPr>
            <w:tcW w:w="4652" w:type="dxa"/>
            <w:tcBorders>
              <w:left w:val="single" w:sz="4" w:space="0" w:color="000000"/>
              <w:bottom w:val="single" w:sz="4" w:space="0" w:color="000000"/>
            </w:tcBorders>
            <w:vAlign w:val="center"/>
          </w:tcPr>
          <w:p>
            <w:pPr>
              <w:pStyle w:val="Standard"/>
              <w:widowControl/>
              <w:spacing w:lineRule="auto" w:line="300" w:before="57" w:afterAutospacing="0" w:after="0"/>
              <w:ind w:hanging="0" w:left="0" w:right="0"/>
              <w:jc w:val="left"/>
              <w:rPr>
                <w:rFonts w:ascii="Times New Roman" w:hAnsi="Times New Roman"/>
                <w:kern w:val="0"/>
                <w:sz w:val="20"/>
                <w:szCs w:val="20"/>
              </w:rPr>
            </w:pPr>
            <w:r>
              <w:rPr>
                <w:rFonts w:eastAsia="Calibri" w:cs="Calibri" w:ascii="Times New Roman" w:hAnsi="Times New Roman"/>
                <w:kern w:val="0"/>
                <w:sz w:val="20"/>
                <w:szCs w:val="20"/>
                <w:lang w:val="pt-BR"/>
              </w:rPr>
              <w:t xml:space="preserve"> </w:t>
            </w:r>
            <w:r>
              <w:rPr>
                <w:rFonts w:eastAsia="Calibri" w:cs="Calibri" w:ascii="Times New Roman" w:hAnsi="Times New Roman"/>
                <w:kern w:val="0"/>
                <w:sz w:val="20"/>
                <w:szCs w:val="20"/>
                <w:lang w:val="pt-BR"/>
              </w:rPr>
              <w:t>INSTALAÇÃO / MANUTENÇÃO – REDE DISTRIBUIÇÃO GÁS</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sz w:val="20"/>
                <w:szCs w:val="20"/>
              </w:rPr>
            </w:pPr>
            <w:r>
              <w:rPr>
                <w:rFonts w:eastAsia="Times New Roman" w:cs="Times New Roman" w:ascii="Times New Roman" w:hAnsi="Times New Roman"/>
                <w:sz w:val="20"/>
                <w:szCs w:val="20"/>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ascii="Times New Roman" w:hAnsi="Times New Roman"/>
                <w:color w:val="000000"/>
                <w:sz w:val="20"/>
                <w:szCs w:val="20"/>
              </w:rPr>
              <w:t>23086</w:t>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ascii="Times New Roman" w:hAnsi="Times New Roman"/>
                <w:color w:val="000000"/>
                <w:sz w:val="20"/>
                <w:szCs w:val="20"/>
              </w:rPr>
              <w:t>1</w:t>
            </w:r>
          </w:p>
        </w:tc>
        <w:tc>
          <w:tcPr>
            <w:tcW w:w="1242"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11.690,00</w:t>
            </w:r>
          </w:p>
        </w:tc>
        <w:tc>
          <w:tcPr>
            <w:tcW w:w="1417"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0"/>
                <w:szCs w:val="20"/>
                <w:u w:val="none"/>
                <w:em w:val="none"/>
                <w:lang w:val="pt-BR"/>
              </w:rPr>
              <w:t xml:space="preserve">R$ </w:t>
            </w:r>
            <w:r>
              <w:rPr>
                <w:rFonts w:ascii="Times New Roman" w:hAnsi="Times New Roman"/>
                <w:color w:val="000000"/>
                <w:sz w:val="20"/>
                <w:szCs w:val="20"/>
              </w:rPr>
              <w:t>11.690,00</w:t>
            </w:r>
          </w:p>
        </w:tc>
      </w:tr>
      <w:tr>
        <w:trPr>
          <w:trHeight w:val="314" w:hRule="atLeast"/>
        </w:trPr>
        <w:tc>
          <w:tcPr>
            <w:tcW w:w="7544" w:type="dxa"/>
            <w:gridSpan w:val="5"/>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caps w:val="false"/>
                <w:smallCaps w:val="false"/>
                <w:strike w:val="false"/>
                <w:dstrike w:val="false"/>
                <w:color w:val="000000"/>
                <w:spacing w:val="0"/>
                <w:sz w:val="20"/>
                <w:szCs w:val="20"/>
                <w:u w:val="none"/>
                <w:lang w:val="pt-BR"/>
              </w:rPr>
              <w:t>VALOR TOTAL</w:t>
            </w:r>
          </w:p>
        </w:tc>
        <w:tc>
          <w:tcPr>
            <w:tcW w:w="2659" w:type="dxa"/>
            <w:gridSpan w:val="2"/>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R$ 151.317,55</w:t>
            </w:r>
          </w:p>
        </w:tc>
      </w:tr>
    </w:tbl>
    <w:p>
      <w:pPr>
        <w:pStyle w:val="Normal"/>
        <w:ind w:hanging="0" w:left="0"/>
        <w:rPr>
          <w:rFonts w:ascii="Arial" w:hAnsi="Arial"/>
        </w:rPr>
      </w:pPr>
      <w:r>
        <w:rPr>
          <w:rFonts w:ascii="Arial" w:hAnsi="Arial"/>
        </w:rPr>
      </w:r>
    </w:p>
    <w:p>
      <w:pPr>
        <w:pStyle w:val="Normal"/>
        <w:numPr>
          <w:ilvl w:val="0"/>
          <w:numId w:val="0"/>
        </w:numPr>
        <w:ind w:hanging="0" w:left="0" w:right="0"/>
        <w:jc w:val="both"/>
        <w:rPr>
          <w:color w:val="000000"/>
        </w:rPr>
      </w:pPr>
      <w:r>
        <w:rPr>
          <w:color w:val="000000"/>
        </w:rPr>
      </w:r>
    </w:p>
    <w:p>
      <w:pPr>
        <w:pStyle w:val="Normal"/>
        <w:widowControl/>
        <w:suppressAutoHyphens w:val="true"/>
        <w:bidi w:val="0"/>
        <w:spacing w:lineRule="auto" w:line="276" w:before="0" w:after="0"/>
        <w:ind w:hanging="0" w:left="0" w:right="0"/>
        <w:jc w:val="both"/>
        <w:rPr>
          <w:rFonts w:ascii="Arial" w:hAnsi="Arial"/>
        </w:rPr>
      </w:pPr>
      <w:r>
        <w:rPr>
          <w:rFonts w:ascii="Arial" w:hAnsi="Arial"/>
        </w:rPr>
      </w:r>
    </w:p>
    <w:p>
      <w:pPr>
        <w:pStyle w:val="Nivel2"/>
        <w:numPr>
          <w:ilvl w:val="1"/>
          <w:numId w:val="123"/>
        </w:numPr>
        <w:ind w:hanging="0" w:left="0"/>
        <w:rPr>
          <w:rFonts w:ascii="Arial" w:hAnsi="Arial"/>
        </w:rPr>
      </w:pPr>
      <w:r>
        <w:rPr/>
        <w:t>Os bens objeto desta contratação são caracterizados como comuns, conforme justificativa constante do Estudo Técnico Preliminar.</w:t>
      </w:r>
    </w:p>
    <w:p>
      <w:pPr>
        <w:pStyle w:val="Nivel2"/>
        <w:numPr>
          <w:ilvl w:val="1"/>
          <w:numId w:val="124"/>
        </w:numPr>
        <w:ind w:hanging="0" w:left="0"/>
        <w:rPr>
          <w:rFonts w:ascii="Arial" w:hAnsi="Arial"/>
        </w:rPr>
      </w:pPr>
      <w:r>
        <w:rPr/>
        <w:t>O objeto desta contratação não se enquadra como sendo de bem de luxo, conforme Decreto nº 10.818, de 27 de setembro de 2021.</w:t>
      </w:r>
    </w:p>
    <w:p>
      <w:pPr>
        <w:pStyle w:val="Nvel2-Red"/>
        <w:numPr>
          <w:ilvl w:val="1"/>
          <w:numId w:val="125"/>
        </w:numPr>
        <w:ind w:hanging="0" w:left="0"/>
        <w:rPr>
          <w:rFonts w:ascii="Arial" w:hAnsi="Arial"/>
        </w:rPr>
      </w:pPr>
      <w:r>
        <w:rPr>
          <w:color w:val="000000"/>
        </w:rPr>
        <w:t>O prazo de vigência da contratação é de 1 (um) contados da data de homologação, na forma do artigo 105 da Lei n° 14.133, de 2021.</w:t>
      </w:r>
    </w:p>
    <w:p>
      <w:pPr>
        <w:pStyle w:val="Nivel2"/>
        <w:numPr>
          <w:ilvl w:val="1"/>
          <w:numId w:val="126"/>
        </w:numPr>
        <w:ind w:hanging="0" w:left="0"/>
        <w:rPr>
          <w:rFonts w:ascii="Arial" w:hAnsi="Arial"/>
        </w:rPr>
      </w:pPr>
      <w:r>
        <w:rPr/>
        <w:t>O contrato oferece maior detalhamento das regras que serão aplicadas em relação à vigência da contratação.</w:t>
      </w:r>
    </w:p>
    <w:p>
      <w:pPr>
        <w:pStyle w:val="Nivel01"/>
        <w:numPr>
          <w:ilvl w:val="0"/>
          <w:numId w:val="4"/>
        </w:numPr>
        <w:ind w:hanging="0" w:left="0"/>
        <w:rPr>
          <w:rFonts w:ascii="Arial" w:hAnsi="Arial"/>
        </w:rPr>
      </w:pPr>
      <w:r>
        <w:rPr/>
        <w:t>FUNDAMENTAÇÃO E DESCRIÇÃO DA NECESSIDADE DA CONTRATAÇÃO</w:t>
      </w:r>
    </w:p>
    <w:p>
      <w:pPr>
        <w:pStyle w:val="Nivel2"/>
        <w:numPr>
          <w:ilvl w:val="1"/>
          <w:numId w:val="127"/>
        </w:numPr>
        <w:ind w:hanging="0" w:left="0"/>
        <w:rPr>
          <w:rFonts w:ascii="Arial" w:hAnsi="Arial"/>
        </w:rPr>
      </w:pPr>
      <w:r>
        <w:rPr/>
        <w:t>A Fundamentação da Contratação e de seus quantitativos encontra-se pormenorizada em Tópico específico dos Estudos Técnicos Preliminares, apêndice deste Termo de Referência.</w:t>
      </w:r>
    </w:p>
    <w:p>
      <w:pPr>
        <w:pStyle w:val="Nvel2-Red"/>
        <w:numPr>
          <w:ilvl w:val="1"/>
          <w:numId w:val="128"/>
        </w:numPr>
        <w:ind w:hanging="0" w:left="0"/>
        <w:rPr>
          <w:rFonts w:ascii="Arial" w:hAnsi="Arial"/>
        </w:rPr>
      </w:pPr>
      <w:r>
        <w:rPr>
          <w:color w:val="000000"/>
        </w:rPr>
        <w:t>O objeto da contratação está previsto no Plano de Contratações Anual 2024, conforme consta das informações básicas desse termo de referência.</w:t>
      </w:r>
    </w:p>
    <w:p>
      <w:pPr>
        <w:pStyle w:val="Nivel01"/>
        <w:numPr>
          <w:ilvl w:val="0"/>
          <w:numId w:val="4"/>
        </w:numPr>
        <w:ind w:hanging="0" w:left="0"/>
        <w:rPr>
          <w:rFonts w:ascii="Arial" w:hAnsi="Arial"/>
        </w:rPr>
      </w:pPr>
      <w:r>
        <w:rPr/>
        <w:t>DESCRIÇÃO DA SOLUÇÃO COMO UM TODO CONSIDERADO O CICLO DE VIDA DO OBJETO E ESPECIFICAÇÃO DO PRODUTO</w:t>
      </w:r>
    </w:p>
    <w:p>
      <w:pPr>
        <w:pStyle w:val="Nvel2-Red"/>
        <w:numPr>
          <w:ilvl w:val="1"/>
          <w:numId w:val="129"/>
        </w:numPr>
        <w:ind w:hanging="0" w:left="0"/>
        <w:rPr>
          <w:rFonts w:ascii="Arial" w:hAnsi="Arial"/>
        </w:rPr>
      </w:pPr>
      <w:r>
        <w:rPr>
          <w:color w:val="000000"/>
        </w:rPr>
        <w:t>A descrição da solução como um todo encontra-se pormenorizada em tópico específico dos Estudos Técnicos Preliminares, apêndice deste Termo de Referência.</w:t>
      </w:r>
    </w:p>
    <w:p>
      <w:pPr>
        <w:pStyle w:val="Nivel01"/>
        <w:numPr>
          <w:ilvl w:val="0"/>
          <w:numId w:val="4"/>
        </w:numPr>
        <w:ind w:hanging="0" w:left="0"/>
        <w:rPr>
          <w:rFonts w:ascii="Arial" w:hAnsi="Arial"/>
        </w:rPr>
      </w:pPr>
      <w:r>
        <w:rPr/>
        <w:t>REQUISITOS DA CONTRATAÇÃO</w:t>
      </w:r>
    </w:p>
    <w:p>
      <w:pPr>
        <w:pStyle w:val="Nvel1-SemNumPreto"/>
        <w:ind w:hanging="0" w:left="0"/>
        <w:rPr>
          <w:rFonts w:ascii="Arial" w:hAnsi="Arial"/>
        </w:rPr>
      </w:pPr>
      <w:r>
        <w:rPr/>
        <w:t>Sustentabilidade:</w:t>
      </w:r>
    </w:p>
    <w:p>
      <w:pPr>
        <w:pStyle w:val="Nivel2"/>
        <w:numPr>
          <w:ilvl w:val="1"/>
          <w:numId w:val="130"/>
        </w:numPr>
        <w:ind w:hanging="0" w:left="0"/>
        <w:rPr>
          <w:rFonts w:ascii="Arial" w:hAnsi="Arial"/>
        </w:rPr>
      </w:pPr>
      <w:r>
        <w:rPr/>
        <w:t xml:space="preserve">Além dos critérios de sustentabilidade eventualmente inseridos na descrição do objeto, devem ser atendidos os seguintes requisitos, que se baseiam no Guia Nacional de Contratações Sustentáveis e </w:t>
      </w:r>
      <w:r>
        <w:rPr>
          <w:color w:val="000000"/>
          <w:sz w:val="20"/>
        </w:rPr>
        <w:t>de justificativas técnicas relevantes.</w:t>
      </w:r>
    </w:p>
    <w:p>
      <w:pPr>
        <w:pStyle w:val="Nvel1-SemNumPreto"/>
        <w:ind w:hanging="0" w:left="0"/>
        <w:rPr>
          <w:rFonts w:ascii="Arial" w:hAnsi="Arial"/>
        </w:rPr>
      </w:pPr>
      <w:r>
        <w:rPr/>
        <w:t>Subcontratação</w:t>
      </w:r>
    </w:p>
    <w:p>
      <w:pPr>
        <w:pStyle w:val="Nivel2"/>
        <w:numPr>
          <w:ilvl w:val="1"/>
          <w:numId w:val="131"/>
        </w:numPr>
        <w:ind w:hanging="0" w:left="0"/>
        <w:rPr>
          <w:rFonts w:ascii="Arial" w:hAnsi="Arial"/>
        </w:rPr>
      </w:pPr>
      <w:r>
        <w:rPr/>
        <w:t>Não é admitida a subcontratação do objeto contratual.</w:t>
      </w:r>
    </w:p>
    <w:p>
      <w:pPr>
        <w:pStyle w:val="Nvel2-Red"/>
        <w:numPr>
          <w:ilvl w:val="1"/>
          <w:numId w:val="132"/>
        </w:numPr>
        <w:ind w:hanging="0" w:left="0"/>
        <w:rPr/>
      </w:pPr>
      <w:r>
        <w:rPr>
          <w:color w:val="000000"/>
        </w:rPr>
        <w:t xml:space="preserve">Não haverá exigência da garantia da contratação dos </w:t>
      </w:r>
      <w:r>
        <w:fldChar w:fldCharType="begin"/>
      </w:r>
      <w:r>
        <w:rPr>
          <w:rStyle w:val="Hyperlink"/>
          <w:color w:themeColor="hyperlink" w:val="000000"/>
        </w:rPr>
        <w:instrText xml:space="preserve"> HYPERLINK "http://www.planalto.gov.br/ccivil_03/_ato2019-2022/2021/lei/L14133.htm" \l "art96"</w:instrText>
      </w:r>
      <w:r>
        <w:rPr>
          <w:rStyle w:val="Hyperlink"/>
          <w:color w:themeColor="hyperlink" w:val="000000"/>
        </w:rPr>
        <w:fldChar w:fldCharType="separate"/>
      </w:r>
      <w:r>
        <w:rPr>
          <w:rStyle w:val="Hyperlink"/>
          <w:color w:themeColor="hyperlink" w:val="000000"/>
        </w:rPr>
        <w:t>artigos 96 e seguintes da Lei nº 14.133, de 2021</w:t>
      </w:r>
      <w:r>
        <w:rPr>
          <w:rStyle w:val="Hyperlink"/>
          <w:color w:themeColor="hyperlink" w:val="000000"/>
        </w:rPr>
        <w:fldChar w:fldCharType="end"/>
      </w:r>
      <w:r>
        <w:rPr>
          <w:color w:val="000000"/>
        </w:rPr>
        <w:t>, pelas razões constantes do Estudo Técnico Preliminar.</w:t>
      </w:r>
    </w:p>
    <w:p>
      <w:pPr>
        <w:pStyle w:val="Nivel2"/>
        <w:numPr>
          <w:ilvl w:val="1"/>
          <w:numId w:val="133"/>
        </w:numPr>
        <w:ind w:hanging="0" w:left="0"/>
        <w:rPr>
          <w:rFonts w:ascii="Arial" w:hAnsi="Arial"/>
        </w:rPr>
      </w:pPr>
      <w:r>
        <w:rPr/>
        <w:t>O contrato oferece maior detalhamento das regras que serão aplicadas em relação à garantia da contratação.</w:t>
      </w:r>
    </w:p>
    <w:p>
      <w:pPr>
        <w:pStyle w:val="Nivel01"/>
        <w:numPr>
          <w:ilvl w:val="0"/>
          <w:numId w:val="4"/>
        </w:numPr>
        <w:ind w:hanging="0" w:left="0"/>
        <w:rPr>
          <w:rFonts w:ascii="Arial" w:hAnsi="Arial"/>
        </w:rPr>
      </w:pPr>
      <w:r>
        <w:rPr/>
        <w:t>MODELO DE EXECUÇÃO DO OBJETO</w:t>
      </w:r>
    </w:p>
    <w:p>
      <w:pPr>
        <w:pStyle w:val="Nvel1-SemNum"/>
        <w:ind w:hanging="0" w:left="0"/>
        <w:rPr>
          <w:rFonts w:ascii="Arial" w:hAnsi="Arial"/>
        </w:rPr>
      </w:pPr>
      <w:r>
        <w:rPr>
          <w:color w:val="000000"/>
        </w:rPr>
        <w:t>Condições de Entrega</w:t>
      </w:r>
    </w:p>
    <w:p>
      <w:pPr>
        <w:pStyle w:val="Nvel2-Red"/>
        <w:numPr>
          <w:ilvl w:val="1"/>
          <w:numId w:val="134"/>
        </w:numPr>
        <w:ind w:hanging="0" w:left="0"/>
        <w:rPr>
          <w:rFonts w:ascii="Arial" w:hAnsi="Arial"/>
        </w:rPr>
      </w:pPr>
      <w:r>
        <w:rPr>
          <w:color w:val="000000"/>
        </w:rPr>
        <w:t xml:space="preserve">O prazo de entrega dos bens é de 30 dias, contados do recebimento do empenho </w:t>
      </w:r>
      <w:r>
        <w:rPr>
          <w:color w:val="000000"/>
          <w:sz w:val="20"/>
        </w:rPr>
        <w:t>por parte do contratado</w:t>
      </w:r>
      <w:r>
        <w:rPr>
          <w:color w:val="000000"/>
        </w:rPr>
        <w:t xml:space="preserve">, em remessa única. </w:t>
      </w:r>
    </w:p>
    <w:p>
      <w:pPr>
        <w:pStyle w:val="BodyText"/>
        <w:numPr>
          <w:ilvl w:val="1"/>
          <w:numId w:val="135"/>
        </w:numPr>
        <w:spacing w:before="280" w:after="280"/>
        <w:ind w:hanging="0" w:left="0"/>
        <w:rPr>
          <w:rFonts w:ascii="Arial" w:hAnsi="Arial"/>
        </w:rPr>
      </w:pPr>
      <w:r>
        <w:rPr>
          <w:rFonts w:ascii="Arial" w:hAnsi="Arial"/>
          <w:color w:val="000000"/>
          <w:sz w:val="20"/>
        </w:rPr>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pPr>
        <w:pStyle w:val="Nivel2"/>
        <w:numPr>
          <w:ilvl w:val="1"/>
          <w:numId w:val="136"/>
        </w:numPr>
        <w:ind w:hanging="0" w:left="0"/>
        <w:rPr>
          <w:rFonts w:ascii="Arial" w:hAnsi="Arial"/>
        </w:rPr>
      </w:pPr>
      <w:r>
        <w:rPr>
          <w:sz w:val="20"/>
          <w:szCs w:val="20"/>
        </w:rPr>
        <w:t xml:space="preserve">Os bens deverão ser entregues no seguinte endereço, </w:t>
      </w:r>
      <w:r>
        <w:rPr>
          <w:rFonts w:cs="Arial"/>
          <w:color w:val="000000"/>
          <w:sz w:val="20"/>
          <w:szCs w:val="20"/>
          <w:lang w:eastAsia="en-US"/>
        </w:rPr>
        <w:t>Almoxarifado do Depósito Central de Munição: Rodovia RJ-127, km 06, s/n, Bairro Cabral, Paracambi - RJ, 26600-000, no horário das 09:40h às 11:30h e das 13:00h às 16:00h de segunda a quinta-feira, e às sextas-feiras das 08:00h</w:t>
      </w:r>
      <w:r>
        <w:rPr>
          <w:rFonts w:cs="Arial"/>
          <w:color w:val="000000"/>
          <w:spacing w:val="-5"/>
          <w:sz w:val="20"/>
          <w:szCs w:val="20"/>
          <w:lang w:eastAsia="en-US"/>
        </w:rPr>
        <w:t xml:space="preserve"> </w:t>
      </w:r>
      <w:r>
        <w:rPr>
          <w:rFonts w:cs="Arial"/>
          <w:color w:val="000000"/>
          <w:sz w:val="20"/>
          <w:szCs w:val="20"/>
          <w:lang w:eastAsia="en-US"/>
        </w:rPr>
        <w:t>às</w:t>
      </w:r>
      <w:r>
        <w:rPr>
          <w:rFonts w:cs="Arial"/>
          <w:color w:val="000000"/>
          <w:spacing w:val="-7"/>
          <w:sz w:val="20"/>
          <w:szCs w:val="20"/>
          <w:lang w:eastAsia="en-US"/>
        </w:rPr>
        <w:t xml:space="preserve"> </w:t>
      </w:r>
      <w:r>
        <w:rPr>
          <w:rFonts w:cs="Arial"/>
          <w:color w:val="000000"/>
          <w:sz w:val="20"/>
          <w:szCs w:val="20"/>
          <w:lang w:eastAsia="en-US"/>
        </w:rPr>
        <w:t>11:30h</w:t>
      </w:r>
      <w:r>
        <w:rPr>
          <w:rFonts w:cs="Arial"/>
          <w:color w:val="000000"/>
          <w:sz w:val="24"/>
          <w:szCs w:val="24"/>
          <w:lang w:eastAsia="en-US"/>
        </w:rPr>
        <w:t>.</w:t>
      </w:r>
    </w:p>
    <w:p>
      <w:pPr>
        <w:pStyle w:val="Nvel1-SemNumPreto"/>
        <w:ind w:hanging="0" w:left="0"/>
        <w:rPr>
          <w:rFonts w:ascii="Arial" w:hAnsi="Arial"/>
        </w:rPr>
      </w:pPr>
      <w:r>
        <w:rPr/>
        <w:t>Garantia, manutenção e assistência técnica</w:t>
      </w:r>
    </w:p>
    <w:p>
      <w:pPr>
        <w:pStyle w:val="Nvel2-Red"/>
        <w:numPr>
          <w:ilvl w:val="1"/>
          <w:numId w:val="137"/>
        </w:numPr>
        <w:ind w:hanging="0" w:left="0"/>
        <w:rPr>
          <w:rFonts w:ascii="Arial" w:hAnsi="Arial"/>
        </w:rPr>
      </w:pPr>
      <w:r>
        <w:rPr>
          <w:color w:val="000000"/>
        </w:rPr>
        <w:t>O prazo de garantia é aquele estabelecido na Lei nº 8.078, de 11 de setembro de 1990 (Código de Defesa do Consumidor)</w:t>
      </w:r>
    </w:p>
    <w:p>
      <w:pPr>
        <w:pStyle w:val="Nivel01"/>
        <w:numPr>
          <w:ilvl w:val="0"/>
          <w:numId w:val="4"/>
        </w:numPr>
        <w:ind w:hanging="0" w:left="0"/>
        <w:rPr>
          <w:rFonts w:ascii="Arial" w:hAnsi="Arial"/>
        </w:rPr>
      </w:pPr>
      <w:r>
        <w:rPr/>
        <w:t>MODELO DE GESTÃO DO CONTRATO</w:t>
      </w:r>
    </w:p>
    <w:p>
      <w:pPr>
        <w:pStyle w:val="Nivel2"/>
        <w:numPr>
          <w:ilvl w:val="1"/>
          <w:numId w:val="138"/>
        </w:numPr>
        <w:ind w:hanging="0" w:left="0"/>
        <w:rPr>
          <w:rFonts w:ascii="Arial" w:hAnsi="Arial"/>
        </w:rPr>
      </w:pPr>
      <w:r>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39"/>
        </w:numPr>
        <w:ind w:hanging="0" w:left="0"/>
        <w:rPr>
          <w:rFonts w:ascii="Arial" w:hAnsi="Arial"/>
        </w:rPr>
      </w:pPr>
      <w:r>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40"/>
        </w:numPr>
        <w:ind w:hanging="0" w:left="0"/>
        <w:rPr>
          <w:rFonts w:ascii="Arial" w:hAnsi="Arial"/>
        </w:rPr>
      </w:pPr>
      <w:r>
        <w:rPr/>
        <w:t>As comunicações entre o órgão ou entidade e a contratada devem ser realizadas por escrito sempre que o ato exigir tal formalidade, admitindo-se o uso de mensagem eletrônica para esse fim.</w:t>
      </w:r>
    </w:p>
    <w:p>
      <w:pPr>
        <w:pStyle w:val="Nivel2"/>
        <w:numPr>
          <w:ilvl w:val="1"/>
          <w:numId w:val="141"/>
        </w:numPr>
        <w:ind w:hanging="0" w:left="0"/>
        <w:rPr>
          <w:rFonts w:ascii="Arial" w:hAnsi="Arial"/>
        </w:rPr>
      </w:pPr>
      <w:r>
        <w:rPr/>
        <w:t>O órgão ou entidade poderá convocar representante da empresa para adoção de providências que devam ser cumpridas de imediato.</w:t>
      </w:r>
    </w:p>
    <w:p>
      <w:pPr>
        <w:pStyle w:val="Nivel2"/>
        <w:numPr>
          <w:ilvl w:val="1"/>
          <w:numId w:val="142"/>
        </w:numPr>
        <w:ind w:hanging="0" w:left="0"/>
        <w:rPr>
          <w:rFonts w:ascii="Arial" w:hAnsi="Arial"/>
        </w:rPr>
      </w:pPr>
      <w:r>
        <w:rPr/>
        <w:t xml:space="preserve"> </w:t>
      </w:r>
      <w:r>
        <w:rPr/>
        <w:t>Após a assinatura do contrato ou instrumento equivalente</w:t>
      </w:r>
      <w:r>
        <w:rPr>
          <w:strike/>
        </w:rPr>
        <w:t>,</w:t>
      </w:r>
      <w: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ind w:hanging="0" w:left="0"/>
        <w:rPr>
          <w:rFonts w:ascii="Arial" w:hAnsi="Arial"/>
        </w:rPr>
      </w:pPr>
      <w:r>
        <w:rPr/>
        <w:t>Fiscalização</w:t>
      </w:r>
    </w:p>
    <w:p>
      <w:pPr>
        <w:pStyle w:val="Nivel2"/>
        <w:numPr>
          <w:ilvl w:val="1"/>
          <w:numId w:val="143"/>
        </w:numPr>
        <w:ind w:hanging="0" w:left="0"/>
        <w:rPr/>
      </w:pPr>
      <w:r>
        <w:rPr/>
        <w:t>A execução do contrato deverá ser acompanhada e fiscalizada pelo(s) fiscal(is) do contrato, ou pelos respectivos substitutos (</w:t>
      </w:r>
      <w:r>
        <w:fldChar w:fldCharType="begin"/>
      </w:r>
      <w:r>
        <w:rPr>
          <w:rStyle w:val="Hyperlink"/>
        </w:rPr>
        <w:instrText xml:space="preserve"> HYPERLINK "http://www.planalto.gov.br/ccivil_03/_ato2019-2022/2021/lei/L14133.htm" \l "art117"</w:instrText>
      </w:r>
      <w:r>
        <w:rPr>
          <w:rStyle w:val="Hyperlink"/>
        </w:rPr>
        <w:fldChar w:fldCharType="separate"/>
      </w:r>
      <w:r>
        <w:rPr>
          <w:rStyle w:val="Hyperlink"/>
        </w:rPr>
        <w:t>Lei nº 14.133, de 2021, art. 117, caput</w:t>
      </w:r>
      <w:r>
        <w:rPr>
          <w:rStyle w:val="Hyperlink"/>
        </w:rPr>
        <w:fldChar w:fldCharType="end"/>
      </w:r>
      <w:r>
        <w:rPr/>
        <w:t>).</w:t>
      </w:r>
    </w:p>
    <w:p>
      <w:pPr>
        <w:pStyle w:val="Nvel1-SemNumPreto"/>
        <w:ind w:hanging="0" w:left="0"/>
        <w:rPr>
          <w:rFonts w:ascii="Arial" w:hAnsi="Arial"/>
        </w:rPr>
      </w:pPr>
      <w:r>
        <w:rPr/>
        <w:t>Fiscalização Técnica</w:t>
      </w:r>
    </w:p>
    <w:p>
      <w:pPr>
        <w:pStyle w:val="Nivel2"/>
        <w:numPr>
          <w:ilvl w:val="1"/>
          <w:numId w:val="144"/>
        </w:numPr>
        <w:ind w:hanging="0" w:left="0"/>
        <w:rPr>
          <w:rFonts w:ascii="Arial" w:hAnsi="Arial"/>
        </w:rPr>
      </w:pPr>
      <w: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145"/>
        </w:numPr>
        <w:ind w:hanging="0" w:left="284"/>
        <w:rPr/>
      </w:pPr>
      <w:r>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Hyperlink"/>
        </w:rPr>
        <w:instrText xml:space="preserve"> HYPERLINK "http://www.planalto.gov.br/ccivil_03/_ato2019-2022/2021/lei/L14133.htm" \l "art117%C2%A71"</w:instrText>
      </w:r>
      <w:r>
        <w:rPr>
          <w:rStyle w:val="Hyperlink"/>
        </w:rPr>
        <w:fldChar w:fldCharType="separate"/>
      </w:r>
      <w:r>
        <w:rPr>
          <w:rStyle w:val="Hyperlink"/>
        </w:rPr>
        <w:t>Lei nº 14.133, de 2021, art. 117, §1º</w:t>
      </w:r>
      <w:r>
        <w:rPr>
          <w:rStyle w:val="Hyperlink"/>
        </w:rPr>
        <w:fldChar w:fldCharType="end"/>
      </w:r>
      <w:r>
        <w:rPr/>
        <w:t xml:space="preserve">, e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II);</w:t>
      </w:r>
      <w:r>
        <w:rPr>
          <w:rStyle w:val="Hyperlink"/>
        </w:rPr>
        <w:fldChar w:fldCharType="end"/>
      </w:r>
    </w:p>
    <w:p>
      <w:pPr>
        <w:pStyle w:val="Nivel3"/>
        <w:numPr>
          <w:ilvl w:val="2"/>
          <w:numId w:val="146"/>
        </w:numPr>
        <w:ind w:hanging="0" w:left="284"/>
        <w:rPr/>
      </w:pPr>
      <w:r>
        <w:rPr/>
        <w:t>Identificada qualquer inexatidão ou irregularidade, o fiscal técnico do contrato emitirá notificações para a correção da execução do contrato, determinando prazo para a correção.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III</w:t>
      </w:r>
      <w:r>
        <w:rPr>
          <w:rStyle w:val="Hyperlink"/>
        </w:rPr>
        <w:fldChar w:fldCharType="end"/>
      </w:r>
      <w:r>
        <w:rPr/>
        <w:t xml:space="preserve">); </w:t>
      </w:r>
    </w:p>
    <w:p>
      <w:pPr>
        <w:pStyle w:val="Nivel3"/>
        <w:numPr>
          <w:ilvl w:val="2"/>
          <w:numId w:val="147"/>
        </w:numPr>
        <w:ind w:hanging="0" w:left="284"/>
        <w:rPr/>
      </w:pPr>
      <w:r>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IV</w:t>
      </w:r>
      <w:r>
        <w:rPr>
          <w:rStyle w:val="Hyperlink"/>
        </w:rPr>
        <w:fldChar w:fldCharType="end"/>
      </w:r>
      <w:r>
        <w:rPr/>
        <w:t>).</w:t>
      </w:r>
    </w:p>
    <w:p>
      <w:pPr>
        <w:pStyle w:val="Nivel3"/>
        <w:numPr>
          <w:ilvl w:val="2"/>
          <w:numId w:val="148"/>
        </w:numPr>
        <w:ind w:hanging="0" w:left="284"/>
        <w:rPr/>
      </w:pPr>
      <w:r>
        <w:rPr/>
        <w:t>No caso de ocorrências que possam inviabilizar a execução do contrato nas datas aprazadas, o fiscal técnico do contrato comunicará o fato imediatamente ao gestor do contrato.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V</w:t>
      </w:r>
      <w:r>
        <w:rPr>
          <w:rStyle w:val="Hyperlink"/>
        </w:rPr>
        <w:fldChar w:fldCharType="end"/>
      </w:r>
      <w:r>
        <w:rPr/>
        <w:t>).</w:t>
      </w:r>
    </w:p>
    <w:p>
      <w:pPr>
        <w:pStyle w:val="Nivel3"/>
        <w:numPr>
          <w:ilvl w:val="2"/>
          <w:numId w:val="149"/>
        </w:numPr>
        <w:ind w:hanging="0" w:left="284"/>
        <w:rPr/>
      </w:pPr>
      <w:r>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VII</w:t>
      </w:r>
      <w:r>
        <w:rPr>
          <w:rStyle w:val="Hyperlink"/>
        </w:rPr>
        <w:fldChar w:fldCharType="end"/>
      </w:r>
      <w:r>
        <w:rPr/>
        <w:t>).</w:t>
      </w:r>
    </w:p>
    <w:p>
      <w:pPr>
        <w:pStyle w:val="Nivel3"/>
        <w:numPr>
          <w:ilvl w:val="0"/>
          <w:numId w:val="0"/>
        </w:numPr>
        <w:ind w:hanging="0" w:left="0"/>
        <w:rPr>
          <w:rFonts w:ascii="Arial" w:hAnsi="Arial"/>
        </w:rPr>
      </w:pPr>
      <w:r>
        <w:rPr/>
        <w:t>Fiscalização Administrativa</w:t>
      </w:r>
    </w:p>
    <w:p>
      <w:pPr>
        <w:pStyle w:val="Nivel2"/>
        <w:numPr>
          <w:ilvl w:val="1"/>
          <w:numId w:val="150"/>
        </w:numPr>
        <w:ind w:hanging="0" w:left="0"/>
        <w:rPr/>
      </w:pPr>
      <w: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Hyperlink"/>
        </w:rPr>
        <w:instrText xml:space="preserve"> HYPERLINK "https://www.planalto.gov.br/ccivil_03/_ato2019-2022/2022/Decreto/D11246.htm" \l "art23"</w:instrText>
      </w:r>
      <w:r>
        <w:rPr>
          <w:rStyle w:val="Hyperlink"/>
        </w:rPr>
        <w:fldChar w:fldCharType="separate"/>
      </w:r>
      <w:r>
        <w:rPr>
          <w:rStyle w:val="Hyperlink"/>
        </w:rPr>
        <w:t>Art. 23, I e II, do Decreto nº 11.246, de 2022</w:t>
      </w:r>
      <w:r>
        <w:rPr>
          <w:rStyle w:val="Hyperlink"/>
        </w:rPr>
        <w:fldChar w:fldCharType="end"/>
      </w:r>
      <w:r>
        <w:rPr/>
        <w:t>).</w:t>
      </w:r>
    </w:p>
    <w:p>
      <w:pPr>
        <w:pStyle w:val="Nivel3"/>
        <w:numPr>
          <w:ilvl w:val="2"/>
          <w:numId w:val="151"/>
        </w:numPr>
        <w:ind w:hanging="0" w:left="284"/>
        <w:rPr/>
      </w:pPr>
      <w:r>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Hyperlink"/>
        </w:rPr>
        <w:instrText xml:space="preserve"> HYPERLINK "https://www.planalto.gov.br/ccivil_03/_ato2019-2022/2022/Decreto/D11246.htm" \l "art23"</w:instrText>
      </w:r>
      <w:r>
        <w:rPr>
          <w:rStyle w:val="Hyperlink"/>
        </w:rPr>
        <w:fldChar w:fldCharType="separate"/>
      </w:r>
      <w:r>
        <w:rPr>
          <w:rStyle w:val="Hyperlink"/>
        </w:rPr>
        <w:t>Decreto nº 11.246, de 2022, art. 23, IV</w:t>
      </w:r>
      <w:r>
        <w:rPr>
          <w:rStyle w:val="Hyperlink"/>
        </w:rPr>
        <w:fldChar w:fldCharType="end"/>
      </w:r>
      <w:r>
        <w:rPr/>
        <w:t>).</w:t>
      </w:r>
    </w:p>
    <w:p>
      <w:pPr>
        <w:pStyle w:val="Nvel1-SemNumPreto"/>
        <w:ind w:hanging="0" w:left="0"/>
        <w:rPr>
          <w:rFonts w:ascii="Arial" w:hAnsi="Arial"/>
        </w:rPr>
      </w:pPr>
      <w:r>
        <w:rPr/>
        <w:t>Gestor do Contrato</w:t>
      </w:r>
    </w:p>
    <w:p>
      <w:pPr>
        <w:pStyle w:val="Nivel2"/>
        <w:numPr>
          <w:ilvl w:val="1"/>
          <w:numId w:val="152"/>
        </w:numPr>
        <w:ind w:hanging="0" w:left="0"/>
        <w:rPr>
          <w:rFonts w:ascii="Arial" w:hAnsi="Arial"/>
        </w:rPr>
      </w:pPr>
      <w: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53"/>
        </w:numPr>
        <w:ind w:hanging="0" w:left="0"/>
        <w:rPr>
          <w:rFonts w:ascii="Arial" w:hAnsi="Arial"/>
        </w:rPr>
      </w:pPr>
      <w: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54"/>
        </w:numPr>
        <w:ind w:hanging="0" w:left="0"/>
        <w:rPr>
          <w:rFonts w:ascii="Arial" w:hAnsi="Arial"/>
        </w:rPr>
      </w:pPr>
      <w: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55"/>
        </w:numPr>
        <w:ind w:hanging="0" w:left="0"/>
        <w:rPr>
          <w:rFonts w:ascii="Arial" w:hAnsi="Arial"/>
        </w:rPr>
      </w:pPr>
      <w: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56"/>
        </w:numPr>
        <w:ind w:hanging="0" w:left="0"/>
        <w:rPr>
          <w:rFonts w:ascii="Arial" w:hAnsi="Arial"/>
        </w:rPr>
      </w:pPr>
      <w: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57"/>
        </w:numPr>
        <w:ind w:hanging="0" w:left="0"/>
        <w:rPr>
          <w:rFonts w:ascii="Arial" w:hAnsi="Arial"/>
        </w:rPr>
      </w:pPr>
      <w: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58"/>
        </w:numPr>
        <w:ind w:hanging="0" w:left="0"/>
        <w:rPr>
          <w:rFonts w:ascii="Arial" w:hAnsi="Arial"/>
        </w:rPr>
      </w:pPr>
      <w:r>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4"/>
        </w:numPr>
        <w:ind w:hanging="0" w:left="0"/>
        <w:rPr>
          <w:rFonts w:ascii="Arial" w:hAnsi="Arial"/>
        </w:rPr>
      </w:pPr>
      <w:r>
        <w:rPr/>
        <w:t>CRITÉRIOS DE MEDIÇÃO E DE PAGAMENTO</w:t>
      </w:r>
    </w:p>
    <w:p>
      <w:pPr>
        <w:pStyle w:val="Nvel1-SemNumPreto"/>
        <w:ind w:hanging="0" w:left="0"/>
        <w:rPr>
          <w:rFonts w:ascii="Arial" w:hAnsi="Arial"/>
        </w:rPr>
      </w:pPr>
      <w:r>
        <w:rPr/>
        <w:t>Recebimento</w:t>
      </w:r>
    </w:p>
    <w:p>
      <w:pPr>
        <w:pStyle w:val="Nivel2"/>
        <w:numPr>
          <w:ilvl w:val="1"/>
          <w:numId w:val="159"/>
        </w:numPr>
        <w:ind w:hanging="0" w:left="0"/>
        <w:rPr>
          <w:rFonts w:ascii="Arial" w:hAnsi="Arial"/>
        </w:rPr>
      </w:pPr>
      <w:r>
        <w:rPr>
          <w:lang w:eastAsia="en-US"/>
        </w:rPr>
        <w:t xml:space="preserve">Os bens serão recebidos provisoriamente, de forma sumária,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color w:val="FF0000"/>
          <w:lang w:eastAsia="en-US"/>
        </w:rPr>
        <w:t xml:space="preserve"> </w:t>
      </w:r>
      <w:r>
        <w:rPr>
          <w:lang w:eastAsia="en-US"/>
        </w:rPr>
        <w:t>e na proposta.</w:t>
      </w:r>
    </w:p>
    <w:p>
      <w:pPr>
        <w:pStyle w:val="Nivel2"/>
        <w:widowControl/>
        <w:numPr>
          <w:ilvl w:val="1"/>
          <w:numId w:val="160"/>
        </w:numPr>
        <w:bidi w:val="0"/>
        <w:spacing w:lineRule="auto" w:line="276" w:before="120" w:after="120"/>
        <w:ind w:hanging="0" w:left="0"/>
        <w:jc w:val="both"/>
        <w:rPr>
          <w:rFonts w:ascii="Arial" w:hAnsi="Arial"/>
        </w:rPr>
      </w:pPr>
      <w:r>
        <w:rPr>
          <w:rFonts w:eastAsia="Arial" w:cs="Arial"/>
          <w:sz w:val="20"/>
          <w:szCs w:val="20"/>
          <w:lang w:eastAsia="en-US"/>
        </w:rPr>
        <w:t>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pPr>
        <w:pStyle w:val="Nivel2"/>
        <w:widowControl/>
        <w:numPr>
          <w:ilvl w:val="1"/>
          <w:numId w:val="161"/>
        </w:numPr>
        <w:bidi w:val="0"/>
        <w:spacing w:lineRule="auto" w:line="276" w:before="120" w:after="120"/>
        <w:ind w:hanging="0" w:left="0"/>
        <w:jc w:val="both"/>
        <w:rPr>
          <w:rFonts w:ascii="Arial" w:hAnsi="Arial"/>
        </w:rPr>
      </w:pPr>
      <w:r>
        <w:rPr>
          <w:rFonts w:eastAsia="Arial" w:cs="Arial"/>
          <w:sz w:val="20"/>
          <w:szCs w:val="20"/>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pPr>
        <w:pStyle w:val="Nivel2"/>
        <w:widowControl/>
        <w:numPr>
          <w:ilvl w:val="1"/>
          <w:numId w:val="162"/>
        </w:numPr>
        <w:bidi w:val="0"/>
        <w:spacing w:lineRule="auto" w:line="276" w:before="120" w:after="120"/>
        <w:ind w:hanging="0" w:left="0"/>
        <w:jc w:val="both"/>
        <w:rPr>
          <w:rFonts w:ascii="Arial" w:hAnsi="Arial"/>
        </w:rPr>
      </w:pPr>
      <w:r>
        <w:rPr>
          <w:rFonts w:eastAsia="Arial" w:cs="Arial"/>
          <w:sz w:val="20"/>
          <w:szCs w:val="20"/>
          <w:lang w:eastAsia="en-US"/>
        </w:rPr>
        <w:t>Para as contratações decorrentes de despesas cujos valores não ultrapassem o limite de que trata o inciso II do art. 75 da Lei nº 14.133, de 2021, o prazo máximo para o recebimento definitivo será de até 05 (cinco) dias úteis.</w:t>
      </w:r>
    </w:p>
    <w:p>
      <w:pPr>
        <w:pStyle w:val="Nivel2"/>
        <w:numPr>
          <w:ilvl w:val="1"/>
          <w:numId w:val="163"/>
        </w:numPr>
        <w:ind w:hanging="0" w:left="0"/>
        <w:rPr>
          <w:rFonts w:ascii="Arial" w:hAnsi="Arial"/>
        </w:rPr>
      </w:pPr>
      <w:r>
        <w:rPr>
          <w:lang w:eastAsia="en-US"/>
        </w:rPr>
        <w:t xml:space="preserve">O prazo para recebimento definitivo poderá ser excepcionalmente prorrogado, </w:t>
      </w:r>
      <w:r>
        <w:rPr>
          <w:color w:val="auto"/>
          <w:lang w:eastAsia="en-US"/>
        </w:rPr>
        <w:t>de forma justificada, por igual período, quando houver necessidade de diligências para a aferição do ate</w:t>
      </w:r>
      <w:r>
        <w:rPr>
          <w:lang w:eastAsia="en-US"/>
        </w:rPr>
        <w:t>ndimento das exigências contratuais.</w:t>
      </w:r>
    </w:p>
    <w:p>
      <w:pPr>
        <w:pStyle w:val="Nivel2"/>
        <w:numPr>
          <w:ilvl w:val="1"/>
          <w:numId w:val="164"/>
        </w:numPr>
        <w:ind w:hanging="0" w:left="0"/>
        <w:rPr/>
      </w:pPr>
      <w:r>
        <w:rPr>
          <w:lang w:eastAsia="en-US"/>
        </w:rPr>
        <w:t xml:space="preserve">No caso de controvérsia sobre a execução do objeto, quanto à dimensão, qualidade e quantidade, deverá ser observado o teor do </w:t>
      </w:r>
      <w:r>
        <w:fldChar w:fldCharType="begin"/>
      </w:r>
      <w:r>
        <w:rPr>
          <w:rStyle w:val="Hyperlink"/>
          <w:lang w:eastAsia="en-US"/>
        </w:rPr>
        <w:instrText xml:space="preserve"> HYPERLINK "http://www.planalto.gov.br/ccivil_03/_ato2019-2022/2021/lei/L14133.htm" \l "art143"</w:instrText>
      </w:r>
      <w:r>
        <w:rPr>
          <w:rStyle w:val="Hyperlink"/>
          <w:lang w:eastAsia="en-US"/>
        </w:rPr>
        <w:fldChar w:fldCharType="separate"/>
      </w:r>
      <w:r>
        <w:rPr>
          <w:rStyle w:val="Hyperlink"/>
          <w:lang w:eastAsia="en-US"/>
        </w:rPr>
        <w:t>art. 143 da Lei nº 14.133, de 2021</w:t>
      </w:r>
      <w:r>
        <w:rPr>
          <w:rStyle w:val="Hyperlink"/>
          <w:lang w:eastAsia="en-US"/>
        </w:rPr>
        <w:fldChar w:fldCharType="end"/>
      </w:r>
      <w:r>
        <w:rPr>
          <w:lang w:eastAsia="en-US"/>
        </w:rPr>
        <w:t>, comunicando-se à empresa para emissão de Nota Fiscal no que pertine à parcela incontroversa da execução do objeto, para efeito de liquidação e pagamento.</w:t>
      </w:r>
    </w:p>
    <w:p>
      <w:pPr>
        <w:pStyle w:val="Nivel2"/>
        <w:numPr>
          <w:ilvl w:val="1"/>
          <w:numId w:val="165"/>
        </w:numPr>
        <w:ind w:hanging="0" w:left="0"/>
        <w:rPr>
          <w:rFonts w:ascii="Arial" w:hAnsi="Arial"/>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66"/>
        </w:numPr>
        <w:ind w:hanging="0" w:left="0"/>
        <w:rPr>
          <w:rFonts w:ascii="Arial" w:hAnsi="Arial"/>
        </w:rPr>
      </w:pPr>
      <w:r>
        <w:rPr>
          <w:lang w:eastAsia="en-US"/>
        </w:rPr>
        <w:t>O recebimento provisório ou definitivo não excluirá a responsabilidade civil pela solidez e pela segurança dos bens nem a responsabilidade ético-profissional pela perfeita execução do contrato.</w:t>
      </w:r>
    </w:p>
    <w:p>
      <w:pPr>
        <w:pStyle w:val="Nvel1-SemNumPreto"/>
        <w:ind w:hanging="0" w:left="0"/>
        <w:rPr>
          <w:rFonts w:ascii="Arial" w:hAnsi="Arial"/>
        </w:rPr>
      </w:pPr>
      <w:r>
        <w:rPr/>
        <w:t>Liquidação</w:t>
      </w:r>
    </w:p>
    <w:p>
      <w:pPr>
        <w:pStyle w:val="Nivel2"/>
        <w:numPr>
          <w:ilvl w:val="1"/>
          <w:numId w:val="167"/>
        </w:numPr>
        <w:ind w:hanging="0" w:left="0"/>
        <w:rPr/>
      </w:pPr>
      <w:r>
        <w:rPr>
          <w:lang w:eastAsia="en-US"/>
        </w:rPr>
        <w:t>Recebida a Nota Fiscal ou documento de cobrança equivalente, correrá o prazo de dez dias úteis para fins de liquidação, na forma desta seção, prorrogáveis por igual período, nos termos do art. 7º, §3</w:t>
      </w:r>
      <w:r>
        <w:rPr>
          <w:rStyle w:val="InternetLink"/>
          <w:lang w:eastAsia="en-US"/>
        </w:rPr>
        <w:t>º da Instrução Normativa SEGES/ME nº 77/2022</w:t>
      </w:r>
      <w:r>
        <w:rPr>
          <w:lang w:eastAsia="en-US"/>
        </w:rPr>
        <w:t>.</w:t>
      </w:r>
    </w:p>
    <w:p>
      <w:pPr>
        <w:pStyle w:val="Nivel3"/>
        <w:numPr>
          <w:ilvl w:val="2"/>
          <w:numId w:val="168"/>
        </w:numPr>
        <w:ind w:hanging="0" w:left="284"/>
        <w:rPr/>
      </w:pPr>
      <w:r>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Hyperlink"/>
        </w:rPr>
        <w:instrText xml:space="preserve"> HYPERLINK "http://www.planalto.gov.br/ccivil_03/_ato2019-2022/2021/lei/L14133.htm" \l "art75"</w:instrText>
      </w:r>
      <w:r>
        <w:rPr>
          <w:rStyle w:val="Hyperlink"/>
        </w:rPr>
        <w:fldChar w:fldCharType="separate"/>
      </w:r>
      <w:r>
        <w:rPr>
          <w:rStyle w:val="Hyperlink"/>
        </w:rPr>
        <w:t>inciso II do art. 75 da Lei nº 14.133, de 2021</w:t>
      </w:r>
      <w:r>
        <w:rPr>
          <w:rStyle w:val="Hyperlink"/>
        </w:rPr>
        <w:fldChar w:fldCharType="end"/>
      </w:r>
      <w:r>
        <w:rPr/>
        <w:t>.</w:t>
      </w:r>
    </w:p>
    <w:p>
      <w:pPr>
        <w:pStyle w:val="Nivel2"/>
        <w:numPr>
          <w:ilvl w:val="1"/>
          <w:numId w:val="169"/>
        </w:numPr>
        <w:ind w:hanging="0" w:left="0"/>
        <w:rPr>
          <w:rFonts w:ascii="Arial" w:hAnsi="Arial"/>
        </w:rPr>
      </w:pPr>
      <w:r>
        <w:rPr>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170"/>
        </w:numPr>
        <w:ind w:hanging="0" w:left="284"/>
        <w:rPr>
          <w:rFonts w:ascii="Arial" w:hAnsi="Arial"/>
        </w:rPr>
      </w:pPr>
      <w:r>
        <w:rPr>
          <w:lang w:eastAsia="en-US"/>
        </w:rPr>
        <w:t>o prazo de validade;</w:t>
      </w:r>
    </w:p>
    <w:p>
      <w:pPr>
        <w:pStyle w:val="Nivel3"/>
        <w:numPr>
          <w:ilvl w:val="2"/>
          <w:numId w:val="171"/>
        </w:numPr>
        <w:ind w:hanging="0" w:left="284"/>
        <w:rPr>
          <w:rFonts w:ascii="Arial" w:hAnsi="Arial"/>
        </w:rPr>
      </w:pPr>
      <w:r>
        <w:rPr>
          <w:lang w:eastAsia="en-US"/>
        </w:rPr>
        <w:t xml:space="preserve">a data da emissão; </w:t>
      </w:r>
    </w:p>
    <w:p>
      <w:pPr>
        <w:pStyle w:val="Nivel3"/>
        <w:numPr>
          <w:ilvl w:val="2"/>
          <w:numId w:val="172"/>
        </w:numPr>
        <w:ind w:hanging="0" w:left="284"/>
        <w:rPr>
          <w:rFonts w:ascii="Arial" w:hAnsi="Arial"/>
        </w:rPr>
      </w:pPr>
      <w:r>
        <w:rPr>
          <w:lang w:eastAsia="en-US"/>
        </w:rPr>
        <w:t xml:space="preserve">os dados do contrato e do órgão contratante; </w:t>
      </w:r>
    </w:p>
    <w:p>
      <w:pPr>
        <w:pStyle w:val="Nivel3"/>
        <w:numPr>
          <w:ilvl w:val="2"/>
          <w:numId w:val="173"/>
        </w:numPr>
        <w:ind w:hanging="0" w:left="284"/>
        <w:rPr>
          <w:rFonts w:ascii="Arial" w:hAnsi="Arial"/>
        </w:rPr>
      </w:pPr>
      <w:r>
        <w:rPr>
          <w:lang w:eastAsia="en-US"/>
        </w:rPr>
        <w:t xml:space="preserve">o período respectivo de execução do contrato; </w:t>
      </w:r>
    </w:p>
    <w:p>
      <w:pPr>
        <w:pStyle w:val="Nivel3"/>
        <w:numPr>
          <w:ilvl w:val="2"/>
          <w:numId w:val="174"/>
        </w:numPr>
        <w:ind w:hanging="0" w:left="284"/>
        <w:rPr>
          <w:rFonts w:ascii="Arial" w:hAnsi="Arial"/>
        </w:rPr>
      </w:pPr>
      <w:r>
        <w:rPr>
          <w:lang w:eastAsia="en-US"/>
        </w:rPr>
        <w:t xml:space="preserve">o valor a pagar; e </w:t>
      </w:r>
    </w:p>
    <w:p>
      <w:pPr>
        <w:pStyle w:val="Nivel3"/>
        <w:numPr>
          <w:ilvl w:val="2"/>
          <w:numId w:val="175"/>
        </w:numPr>
        <w:ind w:hanging="0" w:left="284"/>
        <w:rPr>
          <w:rFonts w:ascii="Arial" w:hAnsi="Arial"/>
        </w:rPr>
      </w:pPr>
      <w:r>
        <w:rPr>
          <w:lang w:eastAsia="en-US"/>
        </w:rPr>
        <w:t>eventual destaque do valor de retenções tributárias cabíveis.</w:t>
      </w:r>
    </w:p>
    <w:p>
      <w:pPr>
        <w:pStyle w:val="Nivel2"/>
        <w:numPr>
          <w:ilvl w:val="1"/>
          <w:numId w:val="176"/>
        </w:numPr>
        <w:ind w:hanging="0" w:left="0"/>
        <w:rPr>
          <w:rFonts w:ascii="Arial" w:hAnsi="Arial"/>
        </w:rPr>
      </w:pPr>
      <w:r>
        <w:rPr>
          <w:rFonts w:eastAsia="Calibri"/>
          <w:lang w:eastAsia="en-US"/>
        </w:rPr>
        <w:t xml:space="preserve"> </w:t>
      </w:r>
      <w:r>
        <w:rPr>
          <w:rFonts w:eastAsia="Calibri"/>
          <w:lang w:eastAsia="en-US"/>
        </w:rPr>
        <w:t xml:space="preserve">Havendo erro na apresentação da nota fiscal ou instrumento de cobrança equivalente, ou circunstância que impeça a </w:t>
      </w:r>
      <w:r>
        <w:rPr>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177"/>
        </w:numPr>
        <w:ind w:hanging="0" w:left="0"/>
        <w:rPr/>
      </w:pPr>
      <w:r>
        <w:rPr>
          <w:lang w:eastAsia="en-US"/>
        </w:rPr>
        <w:t xml:space="preserve"> </w:t>
      </w:r>
      <w:r>
        <w:rPr>
          <w:lang w:eastAsia="en-US"/>
        </w:rPr>
        <w:t xml:space="preserve">A nota fiscal ou instrumento de cobrança equivalente deverá ser obrigatoriamente acompanhado da comprovação da regularidade fiscal, constatada por meio de consulta </w:t>
      </w:r>
      <w:r>
        <w:rPr>
          <w:i/>
          <w:iCs/>
          <w:lang w:eastAsia="en-US"/>
        </w:rPr>
        <w:t>on-line</w:t>
      </w:r>
      <w:r>
        <w:rPr>
          <w:lang w:eastAsia="en-US"/>
        </w:rPr>
        <w:t xml:space="preserve"> ao SICAF ou, na impossibilidade de acesso ao referido Sistema, mediante consulta aos sítios eletrônicos oficiais ou à documentação mencionada no </w:t>
      </w:r>
      <w:r>
        <w:fldChar w:fldCharType="begin"/>
      </w:r>
      <w:r>
        <w:rPr>
          <w:rStyle w:val="Hyperlink"/>
          <w:lang w:eastAsia="en-US"/>
        </w:rPr>
        <w:instrText xml:space="preserve"> HYPERLINK "http://www.planalto.gov.br/ccivil_03/_ato2019-2022/2021/lei/L14133.htm" \l "art68"</w:instrText>
      </w:r>
      <w:r>
        <w:rPr>
          <w:rStyle w:val="Hyperlink"/>
          <w:lang w:eastAsia="en-US"/>
        </w:rPr>
        <w:fldChar w:fldCharType="separate"/>
      </w:r>
      <w:r>
        <w:rPr>
          <w:rStyle w:val="Hyperlink"/>
          <w:lang w:eastAsia="en-US"/>
        </w:rPr>
        <w:t xml:space="preserve">art. 68 da Lei nº 14.133, de 2021.  </w:t>
      </w:r>
      <w:r>
        <w:rPr>
          <w:rStyle w:val="Hyperlink"/>
          <w:lang w:eastAsia="en-US"/>
        </w:rPr>
        <w:fldChar w:fldCharType="end"/>
      </w:r>
      <w:r>
        <w:rPr>
          <w:lang w:eastAsia="en-US"/>
        </w:rPr>
        <w:t xml:space="preserve"> </w:t>
      </w:r>
    </w:p>
    <w:p>
      <w:pPr>
        <w:pStyle w:val="Nivel2"/>
        <w:numPr>
          <w:ilvl w:val="1"/>
          <w:numId w:val="178"/>
        </w:numPr>
        <w:ind w:hanging="0" w:left="0"/>
        <w:rPr>
          <w:rFonts w:ascii="Arial" w:hAnsi="Arial"/>
        </w:rPr>
      </w:pPr>
      <w: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ivel2"/>
        <w:numPr>
          <w:ilvl w:val="1"/>
          <w:numId w:val="179"/>
        </w:numPr>
        <w:ind w:hanging="0" w:left="0"/>
        <w:rPr>
          <w:rFonts w:ascii="Arial" w:hAnsi="Arial"/>
        </w:rPr>
      </w:pPr>
      <w:r>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80"/>
        </w:numPr>
        <w:ind w:hanging="0" w:left="0"/>
        <w:rPr>
          <w:rFonts w:ascii="Arial" w:hAnsi="Arial"/>
        </w:rPr>
      </w:pPr>
      <w:r>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81"/>
        </w:numPr>
        <w:ind w:hanging="0" w:left="0"/>
        <w:rPr>
          <w:rFonts w:ascii="Arial" w:hAnsi="Arial"/>
        </w:rPr>
      </w:pPr>
      <w:r>
        <w:rPr>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182"/>
        </w:numPr>
        <w:ind w:hanging="0" w:left="0"/>
        <w:rPr>
          <w:rFonts w:ascii="Arial" w:hAnsi="Arial"/>
        </w:rPr>
      </w:pPr>
      <w:r>
        <w:rPr>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ind w:hanging="0" w:left="0"/>
        <w:rPr>
          <w:rFonts w:ascii="Arial" w:hAnsi="Arial"/>
        </w:rPr>
      </w:pPr>
      <w:r>
        <w:rPr/>
        <w:t>Prazo de pagamento</w:t>
      </w:r>
    </w:p>
    <w:p>
      <w:pPr>
        <w:pStyle w:val="Nivel2"/>
        <w:numPr>
          <w:ilvl w:val="1"/>
          <w:numId w:val="183"/>
        </w:numPr>
        <w:ind w:hanging="0" w:left="0"/>
        <w:rPr/>
      </w:pPr>
      <w:r>
        <w:rPr/>
        <w:t xml:space="preserve">O pagamento será efetuado no prazo de até 10 (dez) dias úteis contados da finalização da liquidação da despesa, conforme seção anterior, nos termos da </w:t>
      </w:r>
      <w:hyperlink r:id="rId3">
        <w:r>
          <w:rPr>
            <w:rStyle w:val="Hyperlink"/>
          </w:rPr>
          <w:t>Instrução Normativa SEGES/ME nº 77, de 2022</w:t>
        </w:r>
      </w:hyperlink>
      <w:r>
        <w:rPr/>
        <w:t>.</w:t>
      </w:r>
    </w:p>
    <w:p>
      <w:pPr>
        <w:pStyle w:val="Nivel2"/>
        <w:numPr>
          <w:ilvl w:val="1"/>
          <w:numId w:val="184"/>
        </w:numPr>
        <w:ind w:hanging="0" w:left="0"/>
        <w:rPr>
          <w:rFonts w:ascii="Arial" w:hAnsi="Arial"/>
        </w:rPr>
      </w:pPr>
      <w:r>
        <w:rPr>
          <w:lang w:eastAsia="en-US"/>
        </w:rPr>
        <w:t xml:space="preserve">No caso de atraso pelo Contratante, os valores devidos ao contratado serão atualizados monetariamente entre o termo final do prazo de pagamento até a data de sua efetiva realização, mediante aplicação do índice </w:t>
      </w:r>
      <w:r>
        <w:rPr>
          <w:i w:val="false"/>
          <w:iCs w:val="false"/>
          <w:color w:val="000000"/>
          <w:lang w:eastAsia="en-US"/>
        </w:rPr>
        <w:t>IPCA</w:t>
      </w:r>
      <w:r>
        <w:rPr>
          <w:lang w:eastAsia="en-US"/>
        </w:rPr>
        <w:t xml:space="preserve"> de correção monetária.</w:t>
      </w:r>
    </w:p>
    <w:p>
      <w:pPr>
        <w:pStyle w:val="Nvel1-SemNumPreto"/>
        <w:ind w:hanging="0" w:left="0"/>
        <w:rPr>
          <w:rFonts w:ascii="Arial" w:hAnsi="Arial"/>
        </w:rPr>
      </w:pPr>
      <w:r>
        <w:rPr/>
        <w:t>Forma de pagamento</w:t>
      </w:r>
    </w:p>
    <w:p>
      <w:pPr>
        <w:pStyle w:val="Nivel2"/>
        <w:numPr>
          <w:ilvl w:val="1"/>
          <w:numId w:val="185"/>
        </w:numPr>
        <w:ind w:hanging="0" w:left="0"/>
        <w:rPr>
          <w:rFonts w:ascii="Arial" w:hAnsi="Arial"/>
        </w:rPr>
      </w:pPr>
      <w:r>
        <w:rPr>
          <w:lang w:eastAsia="en-US"/>
        </w:rPr>
        <w:t>O pagamento será realizado por meio de ordem bancária, para crédito em banco, agência e conta corrente indicados pelo contratado.</w:t>
      </w:r>
    </w:p>
    <w:p>
      <w:pPr>
        <w:pStyle w:val="Nivel2"/>
        <w:numPr>
          <w:ilvl w:val="1"/>
          <w:numId w:val="186"/>
        </w:numPr>
        <w:ind w:hanging="0" w:left="0"/>
        <w:rPr>
          <w:rFonts w:ascii="Arial" w:hAnsi="Arial"/>
        </w:rPr>
      </w:pPr>
      <w:r>
        <w:rPr>
          <w:lang w:eastAsia="en-US"/>
        </w:rPr>
        <w:t>Será considerada data do pagamento o dia em que constar como emitida a ordem bancária para pagamento.</w:t>
      </w:r>
    </w:p>
    <w:p>
      <w:pPr>
        <w:pStyle w:val="Nivel2"/>
        <w:numPr>
          <w:ilvl w:val="1"/>
          <w:numId w:val="187"/>
        </w:numPr>
        <w:ind w:hanging="0" w:left="0"/>
        <w:rPr>
          <w:rFonts w:ascii="Arial" w:hAnsi="Arial"/>
        </w:rPr>
      </w:pPr>
      <w:r>
        <w:rPr>
          <w:lang w:eastAsia="en-US"/>
        </w:rPr>
        <w:t>Quando do pagamento, será efetuada a retenção tributária prevista na legislação aplicável.</w:t>
      </w:r>
    </w:p>
    <w:p>
      <w:pPr>
        <w:pStyle w:val="Nivel3"/>
        <w:numPr>
          <w:ilvl w:val="2"/>
          <w:numId w:val="188"/>
        </w:numPr>
        <w:ind w:hanging="0" w:left="284"/>
        <w:rPr>
          <w:rFonts w:ascii="Arial" w:hAnsi="Arial"/>
        </w:rPr>
      </w:pPr>
      <w:r>
        <w:rPr>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189"/>
        </w:numPr>
        <w:ind w:hanging="0" w:left="0"/>
        <w:rPr/>
      </w:pPr>
      <w:r>
        <w:rPr>
          <w:lang w:eastAsia="en-US"/>
        </w:rPr>
        <w:t xml:space="preserve">O contratado regularmente optante pelo Simples Nacional, nos termos da </w:t>
      </w:r>
      <w:hyperlink r:id="rId4">
        <w:r>
          <w:rPr>
            <w:rStyle w:val="Hyperlink"/>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
        <w:ind w:hanging="0" w:left="0"/>
        <w:rPr>
          <w:rFonts w:ascii="Arial" w:hAnsi="Arial"/>
          <w:lang w:eastAsia="en-US"/>
        </w:rPr>
      </w:pPr>
      <w:r>
        <w:rPr>
          <w:lang w:eastAsia="en-US"/>
        </w:rPr>
      </w:r>
    </w:p>
    <w:p>
      <w:pPr>
        <w:pStyle w:val="Nvel1-SemNumPreto"/>
        <w:ind w:hanging="0" w:left="0"/>
        <w:rPr>
          <w:rFonts w:ascii="Arial" w:hAnsi="Arial"/>
        </w:rPr>
      </w:pPr>
      <w:r>
        <w:rPr/>
        <w:t>Cessão de crédito</w:t>
      </w:r>
    </w:p>
    <w:p>
      <w:pPr>
        <w:pStyle w:val="Nivel2"/>
        <w:numPr>
          <w:ilvl w:val="1"/>
          <w:numId w:val="190"/>
        </w:numPr>
        <w:ind w:hanging="0" w:left="0"/>
        <w:rPr/>
      </w:pPr>
      <w:r>
        <w:rPr>
          <w:lang w:eastAsia="en-US"/>
        </w:rPr>
        <w:t xml:space="preserve">É admitida a cessão fiduciária de direitos creditícios com instituição financeira, nos termos e de acordo com os procedimentos previstos na </w:t>
      </w:r>
      <w:hyperlink r:id="rId5">
        <w:r>
          <w:rPr>
            <w:rStyle w:val="Hyperlink"/>
            <w:lang w:eastAsia="en-US"/>
          </w:rPr>
          <w:t>Instrução Normativa SEGES/ME nº 53, de 8 de Julho de 2020</w:t>
        </w:r>
      </w:hyperlink>
      <w:r>
        <w:rPr>
          <w:lang w:eastAsia="en-US"/>
        </w:rPr>
        <w:t>, conforme as regras deste presente tópico.</w:t>
      </w:r>
    </w:p>
    <w:p>
      <w:pPr>
        <w:pStyle w:val="Nivel2"/>
        <w:numPr>
          <w:ilvl w:val="1"/>
          <w:numId w:val="191"/>
        </w:numPr>
        <w:ind w:hanging="0" w:left="0"/>
        <w:rPr>
          <w:rFonts w:ascii="Arial" w:hAnsi="Arial"/>
        </w:rPr>
      </w:pPr>
      <w:r>
        <w:rPr>
          <w:lang w:eastAsia="en-US"/>
        </w:rPr>
        <w:t>A eficácia da cessão de crédito</w:t>
      </w:r>
      <w:r>
        <w:rPr/>
        <w:t xml:space="preserve"> não abrangidas pela Instrução Normativa SEGES/ME nº 53, de 8 de julho de 2020,</w:t>
      </w:r>
      <w:r>
        <w:rPr>
          <w:lang w:eastAsia="en-US"/>
        </w:rPr>
        <w:t xml:space="preserve"> em relação à Administração, está condicionada à celebração de termo aditivo ao contrato administrativo.</w:t>
      </w:r>
    </w:p>
    <w:p>
      <w:pPr>
        <w:pStyle w:val="Nivel2"/>
        <w:numPr>
          <w:ilvl w:val="1"/>
          <w:numId w:val="192"/>
        </w:numPr>
        <w:ind w:hanging="0" w:left="0"/>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Hyperlink"/>
          <w:lang w:eastAsia="en-US"/>
        </w:rPr>
        <w:instrText xml:space="preserve"> HYPERLINK "https://www.planalto.gov.br/ccivil_03/leis/l8429.htm" \l ":~:text=LEI%20N%C2%BA%208.429%2C%20DE%202%20DE%20JUNHO%20DE%201992&amp;text=Disp%C3%B5e%20sobre%20as%20san%C3%A7%C3%B5es%20aplic%C3%A1veis,fundacional%20e%20d%C3%A1%20outras%20provid%C3%AAncias."</w:instrText>
      </w:r>
      <w:r>
        <w:rPr>
          <w:rStyle w:val="Hyperlink"/>
          <w:lang w:eastAsia="en-US"/>
        </w:rPr>
        <w:fldChar w:fldCharType="separate"/>
      </w:r>
      <w:r>
        <w:rPr>
          <w:rStyle w:val="Hyperlink"/>
          <w:lang w:eastAsia="en-US"/>
        </w:rPr>
        <w:t>o art. 12 da Lei nº 8.429, de 1992</w:t>
      </w:r>
      <w:r>
        <w:rPr>
          <w:rStyle w:val="Hyperlink"/>
          <w:lang w:eastAsia="en-US"/>
        </w:rPr>
        <w:fldChar w:fldCharType="end"/>
      </w:r>
      <w:r>
        <w:rPr>
          <w:lang w:eastAsia="en-US"/>
        </w:rPr>
        <w:t xml:space="preserve">, nos termos do </w:t>
      </w:r>
      <w:hyperlink r:id="rId6">
        <w:r>
          <w:rPr>
            <w:rStyle w:val="Hyperlink"/>
            <w:lang w:eastAsia="en-US"/>
          </w:rPr>
          <w:t>Parecer JL-01, de 18 de maio de 2020.</w:t>
        </w:r>
      </w:hyperlink>
    </w:p>
    <w:p>
      <w:pPr>
        <w:pStyle w:val="Nivel2"/>
        <w:numPr>
          <w:ilvl w:val="1"/>
          <w:numId w:val="193"/>
        </w:numPr>
        <w:ind w:hanging="0" w:left="0"/>
        <w:rPr>
          <w:rFonts w:ascii="Arial" w:hAnsi="Arial"/>
        </w:rPr>
      </w:pPr>
      <w:r>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sz w:val="19"/>
          <w:szCs w:val="19"/>
        </w:rPr>
        <w:t xml:space="preserve"> (INSTRUÇÃO NORMATIVA Nº 53, DE 8 DE JULHO DE 2020 e Anexos)</w:t>
      </w:r>
    </w:p>
    <w:p>
      <w:pPr>
        <w:pStyle w:val="Nivel2"/>
        <w:numPr>
          <w:ilvl w:val="1"/>
          <w:numId w:val="194"/>
        </w:numPr>
        <w:ind w:hanging="0" w:left="0"/>
        <w:rPr>
          <w:rFonts w:ascii="Arial" w:hAnsi="Arial"/>
        </w:rPr>
      </w:pPr>
      <w:r>
        <w:rPr>
          <w:lang w:eastAsia="en-US"/>
        </w:rPr>
        <w:t>A cessão de crédito não afetará a execução do objeto contratado, que continuará sob a integral responsabilidade do contratado.</w:t>
      </w:r>
    </w:p>
    <w:p>
      <w:pPr>
        <w:pStyle w:val="Nivel01"/>
        <w:numPr>
          <w:ilvl w:val="0"/>
          <w:numId w:val="4"/>
        </w:numPr>
        <w:ind w:hanging="0" w:left="0"/>
        <w:rPr>
          <w:rFonts w:ascii="Arial" w:hAnsi="Arial"/>
        </w:rPr>
      </w:pPr>
      <w:r>
        <w:rPr/>
        <w:t>FORMA E CRITÉRIOS DE SELEÇÃO DO FORNECEDOR E FORMA DE FORNECIMENTO</w:t>
      </w:r>
    </w:p>
    <w:p>
      <w:pPr>
        <w:pStyle w:val="Nvel1-SemNumPreto"/>
        <w:ind w:hanging="0" w:left="0"/>
        <w:rPr>
          <w:rFonts w:ascii="Arial" w:hAnsi="Arial"/>
        </w:rPr>
      </w:pPr>
      <w:r>
        <w:rPr/>
        <w:t>Forma de seleção e critério de julgamento da proposta</w:t>
      </w:r>
    </w:p>
    <w:p>
      <w:pPr>
        <w:pStyle w:val="Nivel2"/>
        <w:numPr>
          <w:ilvl w:val="1"/>
          <w:numId w:val="195"/>
        </w:numPr>
        <w:ind w:hanging="0" w:left="0"/>
        <w:rPr>
          <w:rFonts w:ascii="Arial" w:hAnsi="Arial"/>
        </w:rPr>
      </w:pPr>
      <w:r>
        <w:rPr/>
        <w:t xml:space="preserve">O fornecedor será selecionado por meio da realização de procedimento de LICITAÇÃO, na modalidade PREGÃO, sob a forma ELETRÔNICA, com adoção do critério de julgamento pelo </w:t>
      </w:r>
      <w:r>
        <w:rPr>
          <w:color w:val="000000"/>
        </w:rPr>
        <w:t>MENOR PREÇO.</w:t>
      </w:r>
    </w:p>
    <w:p>
      <w:pPr>
        <w:pStyle w:val="Nvel1-SemNumPreto"/>
        <w:ind w:hanging="0" w:left="0"/>
        <w:rPr>
          <w:rFonts w:ascii="Arial" w:hAnsi="Arial"/>
        </w:rPr>
      </w:pPr>
      <w:r>
        <w:rPr/>
        <w:t>Exigências de habilitação</w:t>
      </w:r>
    </w:p>
    <w:p>
      <w:pPr>
        <w:pStyle w:val="Nivel2"/>
        <w:numPr>
          <w:ilvl w:val="1"/>
          <w:numId w:val="196"/>
        </w:numPr>
        <w:ind w:hanging="0" w:left="0"/>
        <w:rPr>
          <w:rFonts w:ascii="Arial" w:hAnsi="Arial"/>
        </w:rPr>
      </w:pPr>
      <w:r>
        <w:rPr/>
        <w:t>Para fins de habilitação, deverá o licitante comprovar os seguintes requisitos:</w:t>
      </w:r>
    </w:p>
    <w:p>
      <w:pPr>
        <w:pStyle w:val="Nvel1-SemNumPreto"/>
        <w:ind w:hanging="0" w:left="0"/>
        <w:rPr>
          <w:rFonts w:ascii="Arial" w:hAnsi="Arial"/>
        </w:rPr>
      </w:pPr>
      <w:r>
        <w:rPr/>
        <w:t>Habilitação jurídica</w:t>
      </w:r>
    </w:p>
    <w:p>
      <w:pPr>
        <w:pStyle w:val="Nivel2"/>
        <w:numPr>
          <w:ilvl w:val="1"/>
          <w:numId w:val="197"/>
        </w:numPr>
        <w:ind w:hanging="0" w:left="0"/>
        <w:rPr>
          <w:rFonts w:ascii="Arial" w:hAnsi="Arial"/>
        </w:rPr>
      </w:pPr>
      <w:bookmarkStart w:id="1" w:name="_Ref115800561"/>
      <w:r>
        <w:rPr>
          <w:b/>
          <w:bCs/>
        </w:rPr>
        <w:t>Pessoa física:</w:t>
      </w:r>
      <w:r>
        <w:rPr/>
        <w:t xml:space="preserve"> cédula de identidade (RG) ou documento equivalente que, por força de lei, tenha validade para fins de identificação em todo o território nacional;</w:t>
      </w:r>
      <w:bookmarkEnd w:id="1"/>
    </w:p>
    <w:p>
      <w:pPr>
        <w:pStyle w:val="Nivel2"/>
        <w:numPr>
          <w:ilvl w:val="1"/>
          <w:numId w:val="198"/>
        </w:numPr>
        <w:ind w:hanging="0" w:left="0"/>
        <w:rPr>
          <w:rFonts w:ascii="Arial" w:hAnsi="Arial"/>
        </w:rPr>
      </w:pPr>
      <w:r>
        <w:rPr>
          <w:b/>
          <w:bCs/>
        </w:rPr>
        <w:t>Empresário individual:</w:t>
      </w:r>
      <w:r>
        <w:rPr/>
        <w:t xml:space="preserve"> inscrição no Registro Público de Empresas Mercantis, a cargo da Junta Comercial da respectiva sede; </w:t>
      </w:r>
    </w:p>
    <w:p>
      <w:pPr>
        <w:pStyle w:val="Nivel2"/>
        <w:numPr>
          <w:ilvl w:val="1"/>
          <w:numId w:val="199"/>
        </w:numPr>
        <w:ind w:hanging="0" w:left="0"/>
        <w:rPr/>
      </w:pPr>
      <w:r>
        <w:rPr>
          <w:b/>
          <w:bCs/>
        </w:rPr>
        <w:t>Microempreendedor Individual - MEI:</w:t>
      </w:r>
      <w:r>
        <w:rPr/>
        <w:t xml:space="preserve"> Certificado da Condição de Microempreendedor Individual - CCMEI, cuja aceitação ficará condicionada à verificação da autenticidade no sítio </w:t>
      </w:r>
      <w:hyperlink r:id="rId7">
        <w:r>
          <w:rPr>
            <w:rStyle w:val="Hyperlink"/>
          </w:rPr>
          <w:t>https://www.gov.br/empresas-e-negocios/pt-br/empreendedor</w:t>
        </w:r>
      </w:hyperlink>
      <w:r>
        <w:rPr/>
        <w:t xml:space="preserve">; </w:t>
      </w:r>
    </w:p>
    <w:p>
      <w:pPr>
        <w:pStyle w:val="Nivel2"/>
        <w:numPr>
          <w:ilvl w:val="1"/>
          <w:numId w:val="200"/>
        </w:numPr>
        <w:ind w:hanging="0" w:left="0"/>
        <w:rPr>
          <w:rFonts w:ascii="Arial" w:hAnsi="Arial"/>
        </w:rPr>
      </w:pPr>
      <w:r>
        <w:rPr>
          <w:color w:val="000000"/>
        </w:rPr>
        <w:t>Sociedade empresária, sociedade limitada unipessoal – SLU ou sociedade identificada como empresa individual de responsabilidade limitada - EIRELI:</w:t>
      </w:r>
      <w:r>
        <w:rPr/>
        <w:t xml:space="preserve"> inscrição do ato constitutivo, estatuto ou contrato social no Registro Público de Empresas Mercantis, a cargo da Junta Comercial da respectiva sede, acompanhada de documento comprobatório de seus administradores;</w:t>
      </w:r>
    </w:p>
    <w:p>
      <w:pPr>
        <w:pStyle w:val="Nivel2"/>
        <w:numPr>
          <w:ilvl w:val="1"/>
          <w:numId w:val="201"/>
        </w:numPr>
        <w:ind w:hanging="0" w:left="0"/>
        <w:rPr/>
      </w:pPr>
      <w:r>
        <w:rPr>
          <w:b/>
          <w:bCs/>
        </w:rPr>
        <w:t>Sociedade empresária estrangeira:</w:t>
      </w:r>
      <w: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
        <w:r>
          <w:rPr>
            <w:rStyle w:val="Hyperlink"/>
          </w:rPr>
          <w:t>Normativa DREI/ME n.º 77, de 18 de março de 2020</w:t>
        </w:r>
      </w:hyperlink>
      <w:r>
        <w:rPr/>
        <w:t>.</w:t>
      </w:r>
    </w:p>
    <w:p>
      <w:pPr>
        <w:pStyle w:val="Nivel2"/>
        <w:numPr>
          <w:ilvl w:val="1"/>
          <w:numId w:val="202"/>
        </w:numPr>
        <w:ind w:hanging="0" w:left="0"/>
        <w:rPr>
          <w:rFonts w:ascii="Arial" w:hAnsi="Arial"/>
        </w:rPr>
      </w:pPr>
      <w:r>
        <w:rPr>
          <w:b/>
          <w:bCs/>
        </w:rPr>
        <w:t xml:space="preserve">Sociedade simples: </w:t>
      </w:r>
      <w:r>
        <w:rPr/>
        <w:t>inscrição do ato constitutivo no Registro Civil de Pessoas Jurídicas do local de sua sede, acompanhada de documento comprobatório de seus administradores;</w:t>
      </w:r>
    </w:p>
    <w:p>
      <w:pPr>
        <w:pStyle w:val="Nivel2"/>
        <w:numPr>
          <w:ilvl w:val="1"/>
          <w:numId w:val="203"/>
        </w:numPr>
        <w:ind w:hanging="0" w:left="0"/>
        <w:rPr>
          <w:rFonts w:ascii="Arial" w:hAnsi="Arial"/>
        </w:rPr>
      </w:pPr>
      <w:r>
        <w:rPr>
          <w:b/>
          <w:bCs/>
        </w:rPr>
        <w:t>Filial, sucursal ou agência de sociedade simples ou empresária:</w:t>
      </w:r>
      <w:r>
        <w:rPr/>
        <w:t xml:space="preserve"> inscrição do ato constitutivo da filial, sucursal ou agência da sociedade simples ou empresária, respectivamente, no Registro Civil das Pessoas Jurídicas ou no Registro Público de Empresas </w:t>
      </w:r>
      <w:bookmarkStart w:id="2" w:name="_Int_ySfCXwr4"/>
      <w:r>
        <w:rPr/>
        <w:t>Mercantis onde</w:t>
      </w:r>
      <w:bookmarkEnd w:id="2"/>
      <w:r>
        <w:rPr/>
        <w:t xml:space="preserve"> opera, com averbação no Registro onde tem sede a matriz</w:t>
      </w:r>
    </w:p>
    <w:p>
      <w:pPr>
        <w:pStyle w:val="Nivel2"/>
        <w:numPr>
          <w:ilvl w:val="1"/>
          <w:numId w:val="204"/>
        </w:numPr>
        <w:ind w:hanging="0" w:left="0"/>
        <w:rPr/>
      </w:pPr>
      <w:r>
        <w:rPr>
          <w:b/>
          <w:bCs/>
        </w:rPr>
        <w:t>Sociedade cooperativa:</w:t>
      </w:r>
      <w:r>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Hyperlink"/>
        </w:rPr>
        <w:instrText xml:space="preserve"> HYPERLINK "https://www.planalto.gov.br/ccivil_03/leis/l5764.htm" \l "art107"</w:instrText>
      </w:r>
      <w:r>
        <w:rPr>
          <w:rStyle w:val="Hyperlink"/>
        </w:rPr>
        <w:fldChar w:fldCharType="separate"/>
      </w:r>
      <w:r>
        <w:rPr>
          <w:rStyle w:val="Hyperlink"/>
        </w:rPr>
        <w:t>art. 107 da Lei nº 5.764, de 16 de dezembro 1971</w:t>
      </w:r>
      <w:r>
        <w:rPr>
          <w:rStyle w:val="Hyperlink"/>
        </w:rPr>
        <w:fldChar w:fldCharType="end"/>
      </w:r>
      <w:r>
        <w:rPr/>
        <w:t>.</w:t>
      </w:r>
    </w:p>
    <w:p>
      <w:pPr>
        <w:pStyle w:val="Nivel2"/>
        <w:numPr>
          <w:ilvl w:val="1"/>
          <w:numId w:val="205"/>
        </w:numPr>
        <w:ind w:hanging="0" w:left="0"/>
        <w:rPr/>
      </w:pPr>
      <w:r>
        <w:rPr>
          <w:b/>
          <w:bCs/>
        </w:rPr>
        <w:t>Agricultor familiar:</w:t>
      </w:r>
      <w:r>
        <w:rPr/>
        <w:t xml:space="preserve"> Declaração de Aptidão ao Pronaf – DAP ou DAP-P válida, ou, ainda, outros documentos definidos pela Secretaria Especial de Agricultura Familiar e do Desenvolvimento Agrário, nos termos do</w:t>
      </w:r>
      <w:r>
        <w:fldChar w:fldCharType="begin"/>
      </w:r>
      <w:r>
        <w:rPr>
          <w:rStyle w:val="Hyperlink"/>
        </w:rPr>
        <w:instrText xml:space="preserve"> HYPERLINK "https://www.planalto.gov.br/ccivil_03/_ato2019-2022/2021/decreto/d10880.htm" \l "art4%C2%A72"</w:instrText>
      </w:r>
      <w:r>
        <w:rPr>
          <w:rStyle w:val="Hyperlink"/>
        </w:rPr>
        <w:fldChar w:fldCharType="separate"/>
      </w:r>
      <w:r>
        <w:rPr>
          <w:rStyle w:val="Hyperlink"/>
        </w:rPr>
        <w:t xml:space="preserve"> art. 4º, §2º do Decreto nº 10.880, de 2 de dezembro de 2021</w:t>
      </w:r>
      <w:r>
        <w:rPr>
          <w:rStyle w:val="Hyperlink"/>
        </w:rPr>
        <w:fldChar w:fldCharType="end"/>
      </w:r>
      <w:r>
        <w:rPr/>
        <w:t>.</w:t>
      </w:r>
    </w:p>
    <w:p>
      <w:pPr>
        <w:pStyle w:val="Nivel2"/>
        <w:numPr>
          <w:ilvl w:val="1"/>
          <w:numId w:val="206"/>
        </w:numPr>
        <w:ind w:hanging="0" w:left="0"/>
        <w:rPr/>
      </w:pPr>
      <w:r>
        <w:rPr>
          <w:b/>
          <w:bCs/>
        </w:rPr>
        <w:t>Produtor Rural:</w:t>
      </w:r>
      <w:r>
        <w:rPr/>
        <w:t xml:space="preserve"> matrícula no Cadastro Específico do INSS – CEI, que comprove a qualificação como produtor rural pessoa física, nos termos da </w:t>
      </w:r>
      <w:hyperlink r:id="rId9">
        <w:r>
          <w:rPr>
            <w:rStyle w:val="Hyperlink"/>
          </w:rPr>
          <w:t>Instrução Normativa RFB n. 971, de 13 de novembro de 2009</w:t>
        </w:r>
      </w:hyperlink>
      <w:r>
        <w:rPr/>
        <w:t xml:space="preserve"> (arts. 17 a 19 e 165).</w:t>
      </w:r>
    </w:p>
    <w:p>
      <w:pPr>
        <w:pStyle w:val="Nivel2"/>
        <w:numPr>
          <w:ilvl w:val="1"/>
          <w:numId w:val="207"/>
        </w:numPr>
        <w:ind w:hanging="0" w:left="0"/>
        <w:rPr>
          <w:rFonts w:ascii="Arial" w:hAnsi="Arial"/>
        </w:rPr>
      </w:pPr>
      <w:r>
        <w:rPr/>
        <w:t>Os documentos apresentados deverão estar acompanhados de todas as alterações ou da consolidação respectiva.</w:t>
      </w:r>
    </w:p>
    <w:p>
      <w:pPr>
        <w:pStyle w:val="Nvel1-SemNumPreto"/>
        <w:ind w:hanging="0" w:left="0"/>
        <w:rPr>
          <w:rFonts w:ascii="Arial" w:hAnsi="Arial"/>
        </w:rPr>
      </w:pPr>
      <w:r>
        <w:rPr/>
        <w:t>Habilitação fiscal, social e trabalhista</w:t>
      </w:r>
    </w:p>
    <w:p>
      <w:pPr>
        <w:pStyle w:val="Nivel2"/>
        <w:numPr>
          <w:ilvl w:val="1"/>
          <w:numId w:val="208"/>
        </w:numPr>
        <w:ind w:hanging="0" w:left="0"/>
        <w:rPr>
          <w:rFonts w:ascii="Arial" w:hAnsi="Arial"/>
        </w:rPr>
      </w:pPr>
      <w:r>
        <w:rPr/>
        <w:t>Prova de inscrição no Cadastro Nacional de Pessoas Jurídicas ou no Cadastro de Pessoas Físicas, conforme o caso;</w:t>
      </w:r>
    </w:p>
    <w:p>
      <w:pPr>
        <w:pStyle w:val="Nivel2"/>
        <w:numPr>
          <w:ilvl w:val="1"/>
          <w:numId w:val="209"/>
        </w:numPr>
        <w:ind w:hanging="0" w:left="0"/>
        <w:rPr>
          <w:rFonts w:ascii="Arial" w:hAnsi="Arial"/>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10"/>
        </w:numPr>
        <w:ind w:hanging="0" w:left="0"/>
        <w:rPr>
          <w:rFonts w:ascii="Arial" w:hAnsi="Arial"/>
        </w:rPr>
      </w:pPr>
      <w:r>
        <w:rPr/>
        <w:t>Prova de regularidade com o Fundo de Garantia do Tempo de Serviço (FGTS);</w:t>
      </w:r>
    </w:p>
    <w:p>
      <w:pPr>
        <w:pStyle w:val="Nivel2"/>
        <w:numPr>
          <w:ilvl w:val="1"/>
          <w:numId w:val="211"/>
        </w:numPr>
        <w:ind w:hanging="0" w:left="0"/>
        <w:rPr>
          <w:rFonts w:ascii="Arial" w:hAnsi="Arial"/>
        </w:rPr>
      </w:pPr>
      <w: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12"/>
        </w:numPr>
        <w:ind w:hanging="0" w:left="0"/>
        <w:rPr>
          <w:rFonts w:ascii="Arial" w:hAnsi="Arial"/>
        </w:rPr>
      </w:pPr>
      <w:r>
        <w:rPr>
          <w:color w:val="000000"/>
        </w:rPr>
        <w:t xml:space="preserve">Prova de inscrição no cadastro de contribuintes </w:t>
      </w:r>
      <w:r>
        <w:rPr>
          <w:i/>
          <w:iCs/>
          <w:color w:val="000000"/>
        </w:rPr>
        <w:t>Municipal/Distrital</w:t>
      </w:r>
      <w:r>
        <w:rPr>
          <w:color w:val="000000"/>
        </w:rPr>
        <w:t xml:space="preserve"> relativo ao domicílio ou sede do fornecedor, pertinente ao seu ramo de atividade e compatível com o objeto contratual;</w:t>
      </w:r>
      <w:r>
        <w:rPr/>
        <w:t xml:space="preserve"> </w:t>
      </w:r>
    </w:p>
    <w:p>
      <w:pPr>
        <w:pStyle w:val="Nivel2"/>
        <w:numPr>
          <w:ilvl w:val="1"/>
          <w:numId w:val="213"/>
        </w:numPr>
        <w:ind w:hanging="0" w:left="0"/>
        <w:rPr>
          <w:rFonts w:ascii="Arial" w:hAnsi="Arial"/>
        </w:rPr>
      </w:pPr>
      <w:r>
        <w:rPr/>
        <w:t xml:space="preserve">Prova de regularidade com a Fazenda </w:t>
      </w:r>
      <w:r>
        <w:rPr>
          <w:i/>
          <w:iCs/>
          <w:color w:val="000000"/>
        </w:rPr>
        <w:t>Municipal/Distrital</w:t>
      </w:r>
      <w:r>
        <w:rPr>
          <w:color w:val="FF0000"/>
        </w:rPr>
        <w:t xml:space="preserve"> </w:t>
      </w:r>
      <w:r>
        <w:rPr/>
        <w:t>do domicílio ou sede do fornecedor, relativa à atividade em cujo exercício contrata ou concorre;</w:t>
      </w:r>
    </w:p>
    <w:p>
      <w:pPr>
        <w:pStyle w:val="Nivel2"/>
        <w:numPr>
          <w:ilvl w:val="1"/>
          <w:numId w:val="214"/>
        </w:numPr>
        <w:ind w:hanging="0" w:left="0"/>
        <w:rPr>
          <w:rFonts w:ascii="Arial" w:hAnsi="Arial"/>
        </w:rPr>
      </w:pPr>
      <w:r>
        <w:rPr/>
        <w:t>Caso o fornecedor seja considerado isento dos tributo</w:t>
      </w:r>
      <w:r>
        <w:rPr>
          <w:color w:val="000000"/>
        </w:rPr>
        <w:t xml:space="preserve">s </w:t>
      </w:r>
      <w:r>
        <w:rPr>
          <w:i/>
          <w:iCs/>
          <w:color w:val="000000"/>
        </w:rPr>
        <w:t>Municipal/Distrital</w:t>
      </w:r>
      <w:r>
        <w:rPr>
          <w:color w:val="FF0000"/>
        </w:rPr>
        <w:t xml:space="preserve"> </w:t>
      </w:r>
      <w:r>
        <w:rPr/>
        <w:t>relacionados ao objeto contratual, deverá comprovar tal condição mediante a apresentação de declaração da Fazenda respectiva do seu domicílio ou sede, ou outra equivalente, na forma da lei.</w:t>
      </w:r>
    </w:p>
    <w:p>
      <w:pPr>
        <w:pStyle w:val="Nivel2"/>
        <w:numPr>
          <w:ilvl w:val="1"/>
          <w:numId w:val="215"/>
        </w:numPr>
        <w:ind w:hanging="0" w:left="0"/>
        <w:rPr>
          <w:rFonts w:ascii="Arial" w:hAnsi="Arial"/>
        </w:rPr>
      </w:pPr>
      <w:r>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1-SemNumPreto"/>
        <w:ind w:hanging="0" w:left="0"/>
        <w:rPr>
          <w:rFonts w:ascii="Arial" w:hAnsi="Arial"/>
        </w:rPr>
      </w:pPr>
      <w:r>
        <w:rPr/>
        <w:t>Qualificação Econômico-Financeira</w:t>
      </w:r>
    </w:p>
    <w:p>
      <w:pPr>
        <w:pStyle w:val="Nivel2"/>
        <w:numPr>
          <w:ilvl w:val="1"/>
          <w:numId w:val="216"/>
        </w:numPr>
        <w:ind w:hanging="0" w:left="0"/>
        <w:rPr/>
      </w:pPr>
      <w:r>
        <w:rPr/>
        <w:t>Certidão negativa de insolvência civil expedida pelo distribuidor do domicílio ou sede do licitante, caso se trate de pessoa física, desde que admitida a sua participação na licitação (</w:t>
      </w:r>
      <w:r>
        <w:fldChar w:fldCharType="begin"/>
      </w:r>
      <w:r>
        <w:rPr>
          <w:rStyle w:val="Hyperlink"/>
        </w:rPr>
        <w:instrText xml:space="preserve"> HYPERLINK "https://www.gov.br/compras/pt-br/acesso-a-informacao/legislacao/instrucoes-normativas/instrucao-normativa-seges-me-no-116-de-21-de-dezembro-de-2021" \l "art5"</w:instrText>
      </w:r>
      <w:r>
        <w:rPr>
          <w:rStyle w:val="Hyperlink"/>
        </w:rPr>
        <w:fldChar w:fldCharType="separate"/>
      </w:r>
      <w:r>
        <w:rPr>
          <w:rStyle w:val="Hyperlink"/>
        </w:rPr>
        <w:t>art. 5º, inciso II, alínea “c”, da Instrução Normativa Seges/ME nº 116, de 2021</w:t>
      </w:r>
      <w:r>
        <w:rPr>
          <w:rStyle w:val="Hyperlink"/>
        </w:rPr>
        <w:fldChar w:fldCharType="end"/>
      </w:r>
      <w:r>
        <w:rPr/>
        <w:t xml:space="preserve">), ou de sociedade simples; </w:t>
      </w:r>
    </w:p>
    <w:p>
      <w:pPr>
        <w:pStyle w:val="Nivel2"/>
        <w:numPr>
          <w:ilvl w:val="1"/>
          <w:numId w:val="217"/>
        </w:numPr>
        <w:ind w:hanging="0" w:left="0"/>
        <w:rPr/>
      </w:pPr>
      <w:r>
        <w:rPr/>
        <w:t xml:space="preserve">Certidão negativa de falência expedida pelo distribuidor da sede do fornecedor - </w:t>
      </w:r>
      <w:r>
        <w:fldChar w:fldCharType="begin"/>
      </w:r>
      <w:r>
        <w:rPr>
          <w:rStyle w:val="Hyperlink"/>
        </w:rPr>
        <w:instrText xml:space="preserve"> HYPERLINK "http://www.planalto.gov.br/ccivil_03/_ato2019-2022/2021/lei/L14133.htm" \l "art69"</w:instrText>
      </w:r>
      <w:r>
        <w:rPr>
          <w:rStyle w:val="Hyperlink"/>
        </w:rPr>
        <w:fldChar w:fldCharType="separate"/>
      </w:r>
      <w:r>
        <w:rPr>
          <w:rStyle w:val="Hyperlink"/>
        </w:rPr>
        <w:t>Lei nº 14.133, de 2021, art. 69, caput, inciso II</w:t>
      </w:r>
      <w:r>
        <w:rPr>
          <w:rStyle w:val="Hyperlink"/>
        </w:rPr>
        <w:fldChar w:fldCharType="end"/>
      </w:r>
      <w:r>
        <w:rPr/>
        <w:t>);</w:t>
      </w:r>
    </w:p>
    <w:p>
      <w:pPr>
        <w:pStyle w:val="Nivel2"/>
        <w:numPr>
          <w:ilvl w:val="1"/>
          <w:numId w:val="218"/>
        </w:numPr>
        <w:ind w:hanging="0" w:left="0"/>
        <w:rPr>
          <w:rFonts w:ascii="Arial" w:hAnsi="Arial"/>
        </w:rPr>
      </w:pPr>
      <w:r>
        <w:rPr/>
        <w:t>Balanço patrimonial, demonstração de resultado de exercício e demais demonstrações contábeis dos 2 (dois) últimos exercícios sociais, comprovando;</w:t>
      </w:r>
    </w:p>
    <w:p>
      <w:pPr>
        <w:pStyle w:val="Nivel3"/>
        <w:numPr>
          <w:ilvl w:val="2"/>
          <w:numId w:val="219"/>
        </w:numPr>
        <w:ind w:hanging="0" w:left="284"/>
        <w:rPr>
          <w:rFonts w:ascii="Arial" w:hAnsi="Arial"/>
        </w:rPr>
      </w:pPr>
      <w:r>
        <w:rPr/>
        <w:t>índices de Liquidez Geral (LG), Liquidez Corrente (LC), e Solvência Geral (SG) superiores a 1 (um);</w:t>
      </w:r>
    </w:p>
    <w:p>
      <w:pPr>
        <w:pStyle w:val="Nivel3"/>
        <w:numPr>
          <w:ilvl w:val="2"/>
          <w:numId w:val="220"/>
        </w:numPr>
        <w:ind w:hanging="0" w:left="284"/>
        <w:rPr>
          <w:rFonts w:ascii="Arial" w:hAnsi="Arial"/>
        </w:rPr>
      </w:pPr>
      <w:r>
        <w:rPr/>
        <w:t>As empresas criadas no exercício financeiro da licitação deverão atender a todas as exigências da habilitação e poderão substituir os demonstrativos contábeis pelo balanço de abertura.</w:t>
      </w:r>
    </w:p>
    <w:p>
      <w:pPr>
        <w:pStyle w:val="Nivel3"/>
        <w:numPr>
          <w:ilvl w:val="2"/>
          <w:numId w:val="221"/>
        </w:numPr>
        <w:ind w:hanging="0" w:left="284"/>
        <w:rPr>
          <w:rFonts w:ascii="Arial" w:hAnsi="Arial"/>
        </w:rPr>
      </w:pPr>
      <w:r>
        <w:rPr/>
        <w:t>Os documentos referidos acima limitar-se-ão ao último exercício no caso de a pessoa jurídica ter sido constituída há menos de 2 (dois) anos;</w:t>
      </w:r>
    </w:p>
    <w:p>
      <w:pPr>
        <w:pStyle w:val="Nivel3"/>
        <w:numPr>
          <w:ilvl w:val="2"/>
          <w:numId w:val="222"/>
        </w:numPr>
        <w:ind w:hanging="0" w:left="284"/>
        <w:rPr>
          <w:rFonts w:ascii="Arial" w:hAnsi="Arial"/>
        </w:rPr>
      </w:pPr>
      <w:r>
        <w:rPr/>
        <w:t>Os documentos referidos acima deverão ser exigidos com base no limite definido pela Receita Federal do Brasil para transmissão da Escrituração Contábil Digital - ECD ao Sped.</w:t>
      </w:r>
    </w:p>
    <w:p>
      <w:pPr>
        <w:pStyle w:val="Nivel2"/>
        <w:numPr>
          <w:ilvl w:val="1"/>
          <w:numId w:val="223"/>
        </w:numPr>
        <w:ind w:hanging="0" w:left="0"/>
        <w:rPr>
          <w:rFonts w:ascii="Arial" w:hAnsi="Arial"/>
        </w:rPr>
      </w:pPr>
      <w:r>
        <w:rPr/>
        <w:t>C</w:t>
      </w:r>
      <w:r>
        <w:rPr>
          <w:color w:val="000000"/>
        </w:rPr>
        <w:t>aso a empresa licitante apresente resultado inferior ou igual a 1 (um) em qualquer dos índices de Liquidez Geral (LG), Solvência Geral (SG) e Liquidez Corrente (LC), será exigido para fins de habilitação capital mínimo de 10% [até 10%] do valor total estimado da contratação.</w:t>
      </w:r>
    </w:p>
    <w:p>
      <w:pPr>
        <w:pStyle w:val="Nivel2"/>
        <w:numPr>
          <w:ilvl w:val="1"/>
          <w:numId w:val="224"/>
        </w:numPr>
        <w:ind w:hanging="0" w:left="0"/>
        <w:rPr>
          <w:rFonts w:ascii="Arial" w:hAnsi="Arial"/>
        </w:rPr>
      </w:pPr>
      <w:r>
        <w:rPr/>
        <w:t>As empresas criadas no exercício financeiro da licitação deverão atender a todas as exigências da habilitação e poderão substituir os demonstrativos contábeis pelo balanço de abertura. (Lei nº 14.133, de 2021, art. 65, §1º).</w:t>
      </w:r>
    </w:p>
    <w:p>
      <w:pPr>
        <w:pStyle w:val="Nvel1-SemNumPreto"/>
        <w:ind w:hanging="0" w:left="0"/>
        <w:rPr>
          <w:rFonts w:ascii="Arial" w:hAnsi="Arial"/>
        </w:rPr>
      </w:pPr>
      <w:r>
        <w:rPr/>
        <w:t>Qualificação Técnica</w:t>
      </w:r>
    </w:p>
    <w:p>
      <w:pPr>
        <w:pStyle w:val="Nvel2-Red"/>
        <w:numPr>
          <w:ilvl w:val="1"/>
          <w:numId w:val="225"/>
        </w:numPr>
        <w:ind w:hanging="0" w:left="0"/>
        <w:rPr>
          <w:rFonts w:ascii="Arial" w:hAnsi="Arial"/>
        </w:rPr>
      </w:pPr>
      <w:r>
        <w:rPr>
          <w:color w:val="000000"/>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vel3-R"/>
        <w:numPr>
          <w:ilvl w:val="2"/>
          <w:numId w:val="226"/>
        </w:numPr>
        <w:ind w:hanging="0" w:left="284"/>
        <w:rPr>
          <w:rFonts w:ascii="Arial" w:hAnsi="Arial"/>
        </w:rPr>
      </w:pPr>
      <w:r>
        <w:rPr>
          <w:color w:val="000000"/>
        </w:rPr>
        <w:t>Os atestados de capacidade técnica poderão ser apresentados em nome da matriz ou da filial do fornecedor.</w:t>
      </w:r>
    </w:p>
    <w:p>
      <w:pPr>
        <w:pStyle w:val="Nvel3-R"/>
        <w:numPr>
          <w:ilvl w:val="2"/>
          <w:numId w:val="227"/>
        </w:numPr>
        <w:ind w:hanging="0" w:left="284"/>
        <w:rPr>
          <w:rFonts w:ascii="Arial" w:hAnsi="Arial"/>
        </w:rPr>
      </w:pPr>
      <w:r>
        <w:rPr>
          <w:color w:val="00000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2"/>
        <w:numPr>
          <w:ilvl w:val="1"/>
          <w:numId w:val="228"/>
        </w:numPr>
        <w:ind w:hanging="0" w:left="0"/>
        <w:rPr>
          <w:rFonts w:ascii="Arial" w:hAnsi="Arial"/>
        </w:rPr>
      </w:pPr>
      <w:r>
        <w:rPr/>
        <w:t>Caso admitida a participação de cooperativas, será exigida a seguinte documentação complementar:</w:t>
      </w:r>
    </w:p>
    <w:p>
      <w:pPr>
        <w:pStyle w:val="Nivel3"/>
        <w:numPr>
          <w:ilvl w:val="2"/>
          <w:numId w:val="229"/>
        </w:numPr>
        <w:ind w:hanging="0" w:left="284"/>
        <w:rPr/>
      </w:pPr>
      <w: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Hyperlink"/>
        </w:rPr>
        <w:instrText xml:space="preserve"> HYPERLINK "https://www.planalto.gov.br/ccivil_03/leis/l5764.htm" \l "art4"</w:instrText>
      </w:r>
      <w:r>
        <w:rPr>
          <w:rStyle w:val="Hyperlink"/>
        </w:rPr>
        <w:fldChar w:fldCharType="separate"/>
      </w:r>
      <w:r>
        <w:rPr>
          <w:rStyle w:val="Hyperlink"/>
        </w:rPr>
        <w:t>arts. 4º, inciso XI, 21, inciso I</w:t>
      </w:r>
      <w:r>
        <w:rPr>
          <w:rStyle w:val="Hyperlink"/>
        </w:rPr>
        <w:fldChar w:fldCharType="end"/>
      </w:r>
      <w:r>
        <w:rPr/>
        <w:t xml:space="preserve"> e </w:t>
      </w:r>
      <w:r>
        <w:fldChar w:fldCharType="begin"/>
      </w:r>
      <w:r>
        <w:rPr>
          <w:rStyle w:val="Hyperlink"/>
        </w:rPr>
        <w:instrText xml:space="preserve"> HYPERLINK "https://www.planalto.gov.br/ccivil_03/leis/l5764.htm" \l "art42"</w:instrText>
      </w:r>
      <w:r>
        <w:rPr>
          <w:rStyle w:val="Hyperlink"/>
        </w:rPr>
        <w:fldChar w:fldCharType="separate"/>
      </w:r>
      <w:r>
        <w:rPr>
          <w:rStyle w:val="Hyperlink"/>
        </w:rPr>
        <w:t>42, §§2º a 6º da Lei n. 5.764, de 1971</w:t>
      </w:r>
      <w:r>
        <w:rPr>
          <w:rStyle w:val="Hyperlink"/>
        </w:rPr>
        <w:fldChar w:fldCharType="end"/>
      </w:r>
      <w:r>
        <w:rPr/>
        <w:t>;</w:t>
      </w:r>
    </w:p>
    <w:p>
      <w:pPr>
        <w:pStyle w:val="Nivel3"/>
        <w:numPr>
          <w:ilvl w:val="2"/>
          <w:numId w:val="230"/>
        </w:numPr>
        <w:ind w:hanging="0" w:left="284"/>
        <w:rPr>
          <w:rFonts w:ascii="Arial" w:hAnsi="Arial"/>
        </w:rPr>
      </w:pPr>
      <w:r>
        <w:rPr/>
        <w:t>A declaração de regularidade de situação do contribuinte individual – DRSCI, para cada um dos cooperados indicados;</w:t>
      </w:r>
    </w:p>
    <w:p>
      <w:pPr>
        <w:pStyle w:val="Nivel3"/>
        <w:numPr>
          <w:ilvl w:val="2"/>
          <w:numId w:val="231"/>
        </w:numPr>
        <w:ind w:hanging="0" w:left="284"/>
        <w:rPr>
          <w:rFonts w:ascii="Arial" w:hAnsi="Arial"/>
        </w:rPr>
      </w:pPr>
      <w:r>
        <w:rPr/>
        <w:t xml:space="preserve">A comprovação do capital social proporcional ao número de cooperados necessários à execução contratual; </w:t>
      </w:r>
    </w:p>
    <w:p>
      <w:pPr>
        <w:pStyle w:val="Nivel3"/>
        <w:numPr>
          <w:ilvl w:val="2"/>
          <w:numId w:val="232"/>
        </w:numPr>
        <w:ind w:hanging="0" w:left="284"/>
        <w:rPr/>
      </w:pPr>
      <w:r>
        <w:rPr/>
        <w:t xml:space="preserve">O registro previsto na </w:t>
      </w:r>
      <w:r>
        <w:fldChar w:fldCharType="begin"/>
      </w:r>
      <w:r>
        <w:rPr>
          <w:rStyle w:val="Hyperlink"/>
        </w:rPr>
        <w:instrText xml:space="preserve"> HYPERLINK "https://www.planalto.gov.br/ccivil_03/leis/l5764.htm" \l "art107"</w:instrText>
      </w:r>
      <w:r>
        <w:rPr>
          <w:rStyle w:val="Hyperlink"/>
        </w:rPr>
        <w:fldChar w:fldCharType="separate"/>
      </w:r>
      <w:r>
        <w:rPr>
          <w:rStyle w:val="Hyperlink"/>
        </w:rPr>
        <w:t>Lei n. 5.764, de 1971, art. 107</w:t>
      </w:r>
      <w:r>
        <w:rPr>
          <w:rStyle w:val="Hyperlink"/>
        </w:rPr>
        <w:fldChar w:fldCharType="end"/>
      </w:r>
      <w:r>
        <w:rPr/>
        <w:t>;</w:t>
      </w:r>
    </w:p>
    <w:p>
      <w:pPr>
        <w:pStyle w:val="Nivel3"/>
        <w:numPr>
          <w:ilvl w:val="2"/>
          <w:numId w:val="233"/>
        </w:numPr>
        <w:ind w:hanging="0" w:left="284"/>
        <w:rPr>
          <w:rFonts w:ascii="Arial" w:hAnsi="Arial"/>
        </w:rPr>
      </w:pPr>
      <w:r>
        <w:rPr/>
        <w:t xml:space="preserve"> </w:t>
      </w:r>
      <w:r>
        <w:rPr/>
        <w:t>A comprovação de integração das respectivas quotas-partes por parte dos cooperados que executarão o contrato; e</w:t>
      </w:r>
    </w:p>
    <w:p>
      <w:pPr>
        <w:pStyle w:val="Nivel3"/>
        <w:numPr>
          <w:ilvl w:val="2"/>
          <w:numId w:val="234"/>
        </w:numPr>
        <w:ind w:hanging="0" w:left="284"/>
        <w:rPr>
          <w:rFonts w:ascii="Arial" w:hAnsi="Arial"/>
        </w:rPr>
      </w:pPr>
      <w:r>
        <w:rPr/>
        <w:t xml:space="preserve"> </w:t>
      </w:r>
      <w: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pPr>
        <w:pStyle w:val="Nivel3"/>
        <w:numPr>
          <w:ilvl w:val="2"/>
          <w:numId w:val="235"/>
        </w:numPr>
        <w:ind w:hanging="0" w:left="284"/>
        <w:rPr/>
      </w:pPr>
      <w:r>
        <w:rPr/>
        <w:t xml:space="preserve">A última auditoria contábil-financeira da cooperativa, conforme dispõe o </w:t>
      </w:r>
      <w:r>
        <w:fldChar w:fldCharType="begin"/>
      </w:r>
      <w:r>
        <w:rPr>
          <w:rStyle w:val="Hyperlink"/>
        </w:rPr>
        <w:instrText xml:space="preserve"> HYPERLINK "https://www.planalto.gov.br/ccivil_03/leis/l5764.htm" \l "art112"</w:instrText>
      </w:r>
      <w:r>
        <w:rPr>
          <w:rStyle w:val="Hyperlink"/>
        </w:rPr>
        <w:fldChar w:fldCharType="separate"/>
      </w:r>
      <w:r>
        <w:rPr>
          <w:rStyle w:val="Hyperlink"/>
        </w:rPr>
        <w:t>art. 112 da Lei n. 5.764, de 1971</w:t>
      </w:r>
      <w:r>
        <w:rPr>
          <w:rStyle w:val="Hyperlink"/>
        </w:rPr>
        <w:fldChar w:fldCharType="end"/>
      </w:r>
      <w:r>
        <w:rPr/>
        <w:t>, ou uma declaração, sob as penas da lei, de que tal auditoria não foi exigida pelo órgão fiscalizador.</w:t>
      </w:r>
    </w:p>
    <w:p>
      <w:pPr>
        <w:pStyle w:val="Nivel01"/>
        <w:numPr>
          <w:ilvl w:val="0"/>
          <w:numId w:val="4"/>
        </w:numPr>
        <w:ind w:hanging="0" w:left="0"/>
        <w:rPr>
          <w:rFonts w:ascii="Arial" w:hAnsi="Arial"/>
        </w:rPr>
      </w:pPr>
      <w:r>
        <w:rPr/>
        <w:t>ESTIMATIVAS DO VALOR DA CONTRATAÇÃO</w:t>
      </w:r>
    </w:p>
    <w:p>
      <w:pPr>
        <w:pStyle w:val="Nvel2-Red"/>
        <w:numPr>
          <w:ilvl w:val="1"/>
          <w:numId w:val="236"/>
        </w:numPr>
        <w:ind w:hanging="0" w:left="0"/>
        <w:rPr>
          <w:rFonts w:ascii="Arial" w:hAnsi="Arial"/>
        </w:rPr>
      </w:pPr>
      <w:r>
        <w:rPr>
          <w:color w:val="000000"/>
        </w:rPr>
        <w:t>O custo estimado total da contratação é de R$ 58.149,28 (Cinquenta e oito mil, cento e quarenta e nove reais e vinte oito centavos), conforme custos unitários apostos na tabela acima</w:t>
      </w:r>
      <w:r>
        <w:rPr/>
        <w:t>.</w:t>
      </w:r>
    </w:p>
    <w:p>
      <w:pPr>
        <w:pStyle w:val="Nivel01"/>
        <w:numPr>
          <w:ilvl w:val="0"/>
          <w:numId w:val="4"/>
        </w:numPr>
        <w:ind w:hanging="0" w:left="0"/>
        <w:rPr>
          <w:rFonts w:ascii="Arial" w:hAnsi="Arial"/>
        </w:rPr>
      </w:pPr>
      <w:r>
        <w:rPr/>
        <w:t>ADEQUAÇÃO ORÇAMENTÁRIA</w:t>
      </w:r>
    </w:p>
    <w:p>
      <w:pPr>
        <w:pStyle w:val="Nivel2"/>
        <w:numPr>
          <w:ilvl w:val="1"/>
          <w:numId w:val="237"/>
        </w:numPr>
        <w:ind w:hanging="0" w:left="0"/>
        <w:rPr>
          <w:rFonts w:ascii="Arial" w:hAnsi="Arial"/>
        </w:rPr>
      </w:pPr>
      <w:r>
        <w:rPr/>
        <w:t>As despesas decorrentes da presente contratação correrão à conta de recursos específicos consignados no Orçamento Geral da União.</w:t>
      </w:r>
    </w:p>
    <w:p>
      <w:pPr>
        <w:pStyle w:val="Nivel2"/>
        <w:numPr>
          <w:ilvl w:val="1"/>
          <w:numId w:val="238"/>
        </w:numPr>
        <w:ind w:hanging="0" w:left="0"/>
        <w:rPr>
          <w:rFonts w:ascii="Arial" w:hAnsi="Arial"/>
        </w:rPr>
      </w:pPr>
      <w:r>
        <w:rPr/>
        <w:t>A contratação será atendida pela seguinte dotação:</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Gestão/Unidade: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Fonte de Recursos: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Programa de Trabalho: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Elemento de Despesa: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Plano Interno: [...];</w:t>
      </w:r>
    </w:p>
    <w:p>
      <w:pPr>
        <w:pStyle w:val="Nvel2-Red"/>
        <w:numPr>
          <w:ilvl w:val="0"/>
          <w:numId w:val="0"/>
        </w:numPr>
        <w:ind w:hanging="0" w:left="0"/>
        <w:rPr>
          <w:rFonts w:ascii="Arial" w:hAnsi="Arial"/>
        </w:rPr>
      </w:pPr>
      <w:r>
        <w:rPr/>
      </w:r>
      <w:bookmarkEnd w:id="0"/>
    </w:p>
    <w:p>
      <w:pPr>
        <w:pStyle w:val="Normal"/>
        <w:spacing w:lineRule="auto" w:line="276" w:before="0" w:after="120"/>
        <w:ind w:right="-15"/>
        <w:jc w:val="right"/>
        <w:rPr>
          <w:color w:val="000000"/>
        </w:rPr>
      </w:pPr>
      <w:r>
        <w:rPr>
          <w:rFonts w:eastAsia="Times New Roman" w:cs="Times New Roman" w:ascii="Times New Roman" w:hAnsi="Times New Roman"/>
          <w:color w:val="000000"/>
          <w:sz w:val="24"/>
          <w:szCs w:val="24"/>
        </w:rPr>
        <w:t>Paracambi – Rio de Janeiro, 1</w:t>
      </w:r>
      <w:r>
        <w:rPr>
          <w:rFonts w:eastAsia="Times New Roman" w:cs="Times New Roman" w:ascii="Times New Roman" w:hAnsi="Times New Roman"/>
          <w:color w:val="000000"/>
          <w:sz w:val="24"/>
          <w:szCs w:val="24"/>
        </w:rPr>
        <w:t>3</w:t>
      </w:r>
      <w:r>
        <w:rPr>
          <w:rFonts w:eastAsia="Times New Roman" w:cs="Times New Roman" w:ascii="Times New Roman" w:hAnsi="Times New Roman"/>
          <w:color w:val="000000"/>
          <w:sz w:val="24"/>
          <w:szCs w:val="24"/>
        </w:rPr>
        <w:t xml:space="preserve"> de janeiro de 2025.</w:t>
      </w:r>
    </w:p>
    <w:p>
      <w:pPr>
        <w:pStyle w:val="Normal"/>
        <w:spacing w:lineRule="auto" w:line="276" w:before="0" w:after="120"/>
        <w:ind w:right="-15"/>
        <w:jc w:val="right"/>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ivel2"/>
        <w:numPr>
          <w:ilvl w:val="0"/>
          <w:numId w:val="0"/>
        </w:numPr>
        <w:ind w:hanging="0" w:left="0"/>
        <w:rPr>
          <w:rFonts w:ascii="Arial" w:hAnsi="Arial"/>
        </w:rPr>
      </w:pPr>
      <w:r>
        <w:rPr/>
      </w:r>
    </w:p>
    <w:p>
      <w:pPr>
        <w:pStyle w:val="Normal"/>
        <w:spacing w:lineRule="auto" w:line="312" w:before="120" w:after="288"/>
        <w:ind w:left="357"/>
        <w:jc w:val="center"/>
        <w:rPr>
          <w:rFonts w:ascii="Arial" w:hAnsi="Arial" w:eastAsia="Arial" w:cs="Arial"/>
          <w:sz w:val="20"/>
          <w:szCs w:val="20"/>
        </w:rPr>
      </w:pPr>
      <w:r>
        <w:rPr>
          <w:rFonts w:eastAsia="Arial" w:cs="Arial" w:ascii="Arial" w:hAnsi="Arial"/>
          <w:sz w:val="20"/>
          <w:szCs w:val="20"/>
        </w:rPr>
      </w:r>
    </w:p>
    <w:p>
      <w:pPr>
        <w:pStyle w:val="Normal"/>
        <w:spacing w:lineRule="auto" w:line="312" w:before="120" w:after="288"/>
        <w:ind w:left="357"/>
        <w:jc w:val="center"/>
        <w:rPr>
          <w:rFonts w:ascii="Arial" w:hAnsi="Arial" w:eastAsia="Arial" w:cs="Arial"/>
          <w:sz w:val="20"/>
          <w:szCs w:val="20"/>
        </w:rPr>
      </w:pPr>
      <w:r>
        <w:rPr>
          <w:rFonts w:eastAsia="Arial" w:cs="Arial" w:ascii="Arial" w:hAnsi="Arial"/>
          <w:sz w:val="20"/>
          <w:szCs w:val="20"/>
        </w:rPr>
      </w:r>
    </w:p>
    <w:p>
      <w:pPr>
        <w:pStyle w:val="Normal"/>
        <w:spacing w:lineRule="auto" w:line="312" w:before="120" w:after="288"/>
        <w:ind w:left="357"/>
        <w:jc w:val="center"/>
        <w:rPr>
          <w:rFonts w:ascii="Arial" w:hAnsi="Arial" w:eastAsia="Arial" w:cs="Arial"/>
          <w:sz w:val="20"/>
          <w:szCs w:val="20"/>
        </w:rPr>
      </w:pPr>
      <w:r>
        <w:rPr>
          <w:rFonts w:eastAsia="Arial" w:cs="Arial" w:ascii="Arial" w:hAnsi="Arial"/>
          <w:sz w:val="20"/>
          <w:szCs w:val="20"/>
        </w:rPr>
      </w:r>
    </w:p>
    <w:p>
      <w:pPr>
        <w:pStyle w:val="Normal"/>
        <w:spacing w:before="0" w:after="0"/>
        <w:contextualSpacing/>
        <w:jc w:val="center"/>
        <w:rPr>
          <w:color w:val="000000"/>
        </w:rPr>
      </w:pPr>
      <w:r>
        <w:rPr>
          <w:rFonts w:eastAsia="Times New Roman" w:cs="Times New Roman" w:ascii="Times New Roman" w:hAnsi="Times New Roman"/>
          <w:b/>
          <w:color w:val="000000"/>
          <w:sz w:val="24"/>
          <w:szCs w:val="24"/>
        </w:rPr>
        <w:t>JULIANA GOMES OLIVEIRA</w:t>
      </w:r>
      <w:r>
        <w:rPr>
          <w:rFonts w:eastAsia="Times New Roman" w:cs="Times New Roman" w:ascii="Times New Roman" w:hAnsi="Times New Roman"/>
          <w:color w:val="000000"/>
          <w:sz w:val="24"/>
          <w:szCs w:val="24"/>
        </w:rPr>
        <w:t xml:space="preserve"> – </w:t>
      </w:r>
      <w:r>
        <w:rPr>
          <w:rFonts w:eastAsia="Times New Roman" w:cs="Times New Roman" w:ascii="Times New Roman" w:hAnsi="Times New Roman"/>
          <w:b/>
          <w:bCs/>
          <w:color w:val="000000"/>
          <w:sz w:val="24"/>
          <w:szCs w:val="24"/>
        </w:rPr>
        <w:t>2° Ten</w:t>
      </w:r>
    </w:p>
    <w:p>
      <w:pPr>
        <w:pStyle w:val="Normal"/>
        <w:spacing w:lineRule="auto" w:line="276"/>
        <w:ind w:right="-15"/>
        <w:jc w:val="center"/>
        <w:rPr>
          <w:color w:val="000000"/>
        </w:rPr>
      </w:pPr>
      <w:r>
        <w:rPr>
          <w:rFonts w:eastAsia="Times New Roman" w:cs="Times New Roman" w:ascii="Times New Roman" w:hAnsi="Times New Roman"/>
          <w:color w:val="000000"/>
          <w:sz w:val="24"/>
          <w:szCs w:val="24"/>
        </w:rPr>
        <w:t>Responsável pelo Termo de Referência</w:t>
      </w:r>
    </w:p>
    <w:p>
      <w:pPr>
        <w:pStyle w:val="Normal"/>
        <w:spacing w:lineRule="auto" w:line="276"/>
        <w:ind w:right="-15"/>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76"/>
        <w:ind w:right="-15"/>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76"/>
        <w:ind w:right="-15"/>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rPr>
          <w:color w:val="000000"/>
        </w:rPr>
      </w:pPr>
      <w:r>
        <w:rPr>
          <w:rFonts w:eastAsia="Times New Roman" w:cs="Times New Roman" w:ascii="Times New Roman" w:hAnsi="Times New Roman"/>
          <w:color w:val="000000"/>
          <w:sz w:val="24"/>
          <w:szCs w:val="24"/>
        </w:rPr>
        <w:t>Nos termos do disposto da Lei 14.133/2021, aprovo o presente Termo de Referência.</w:t>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jc w:val="center"/>
        <w:rPr>
          <w:color w:val="000000"/>
        </w:rPr>
      </w:pPr>
      <w:r>
        <w:rPr>
          <w:rFonts w:eastAsia="Times New Roman" w:cs="Times New Roman" w:ascii="Times New Roman" w:hAnsi="Times New Roman"/>
          <w:b/>
          <w:bCs/>
          <w:color w:val="000000"/>
          <w:sz w:val="24"/>
          <w:szCs w:val="24"/>
        </w:rPr>
        <w:t>ANDERSON MENDES DIAS – Ten Cel</w:t>
      </w:r>
    </w:p>
    <w:p>
      <w:pPr>
        <w:pStyle w:val="Normal"/>
        <w:jc w:val="center"/>
        <w:rPr>
          <w:color w:val="000000"/>
        </w:rPr>
      </w:pPr>
      <w:r>
        <w:rPr>
          <w:rFonts w:eastAsia="Times New Roman" w:cs="Times New Roman" w:ascii="Times New Roman" w:hAnsi="Times New Roman"/>
          <w:color w:val="000000"/>
          <w:sz w:val="24"/>
          <w:szCs w:val="24"/>
        </w:rPr>
        <w:t>Ordenador de Despesas do Depósito Central de Munição</w:t>
      </w:r>
    </w:p>
    <w:p>
      <w:pPr>
        <w:pStyle w:val="Normal"/>
        <w:jc w:val="center"/>
        <w:rPr>
          <w:color w:val="000000"/>
        </w:rPr>
      </w:pPr>
      <w:r>
        <w:rPr>
          <w:rFonts w:eastAsia="Times New Roman" w:cs="Times New Roman" w:ascii="Times New Roman" w:hAnsi="Times New Roman"/>
          <w:b/>
          <w:bCs/>
          <w:color w:val="000000"/>
          <w:sz w:val="24"/>
          <w:szCs w:val="24"/>
        </w:rPr>
        <w:t>Autoridade competente</w:t>
      </w:r>
    </w:p>
    <w:sectPr>
      <w:headerReference w:type="even" r:id="rId10"/>
      <w:headerReference w:type="default" r:id="rId11"/>
      <w:headerReference w:type="first" r:id="rId12"/>
      <w:footerReference w:type="even" r:id="rId13"/>
      <w:footerReference w:type="default" r:id="rId14"/>
      <w:footerReference w:type="first" r:id="rId15"/>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swiss"/>
    <w:pitch w:val="variable"/>
  </w:font>
  <w:font w:name="Calibri">
    <w:charset w:val="00"/>
    <w:family w:val="swiss"/>
    <w:pitch w:val="variable"/>
  </w:font>
  <w:font w:name="Tahoma">
    <w:charset w:val="00"/>
    <w:family w:val="swiss"/>
    <w:pitch w:val="variable"/>
  </w:font>
  <w:font w:name="OpenSymbol">
    <w:altName w:val="Arial Unicode MS"/>
    <w:charset w:val="00"/>
    <w:family w:val="auto"/>
    <w:pitch w:val="variable"/>
  </w:font>
  <w:font w:name="Liberation Sans">
    <w:altName w:val="Arial"/>
    <w:charset w:val="00"/>
    <w:family w:val="swiss"/>
    <w:pitch w:val="variable"/>
  </w:font>
  <w:font w:name="Rawline">
    <w:charset w:val="00"/>
    <w:family w:val="auto"/>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2"/>
          </w:rPr>
        </w:pPr>
        <w:r>
          <w:rPr>
            <w:color w:themeColor="text1" w:themeTint="80" w:val="7F7F7F"/>
            <w:spacing w:val="60"/>
            <w:sz w:val="22"/>
            <w:szCs w:val="22"/>
          </w:rPr>
          <w:tab/>
          <w:tab/>
        </w:r>
        <w:r>
          <w:rPr>
            <w:color w:themeColor="text1" w:themeTint="a6" w:val="595959"/>
            <w:spacing w:val="60"/>
            <w:sz w:val="22"/>
            <w:szCs w:val="22"/>
          </w:rPr>
          <w:t>Página</w:t>
        </w:r>
        <w:r>
          <w:rPr>
            <w:color w:themeColor="text1" w:themeTint="a6" w:val="595959"/>
            <w:sz w:val="22"/>
            <w:szCs w:val="22"/>
          </w:rPr>
          <w:t xml:space="preserve">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PAGE </w:instrText>
        </w:r>
        <w:r>
          <w:rPr>
            <w:sz w:val="22"/>
            <w:shd w:fill="E6E6E6" w:val="clear"/>
            <w:szCs w:val="22"/>
            <w:color w:themeColor="text1" w:themeTint="a6" w:val="595959"/>
          </w:rPr>
          <w:fldChar w:fldCharType="separate"/>
        </w:r>
        <w:r>
          <w:rPr>
            <w:sz w:val="22"/>
            <w:shd w:fill="E6E6E6" w:val="clear"/>
            <w:szCs w:val="22"/>
            <w:color w:themeColor="text1" w:themeTint="a6" w:val="595959"/>
          </w:rPr>
          <w:t>13</w:t>
        </w:r>
        <w:r>
          <w:rPr>
            <w:sz w:val="22"/>
            <w:shd w:fill="E6E6E6" w:val="clear"/>
            <w:szCs w:val="22"/>
            <w:color w:themeColor="text1" w:themeTint="a6" w:val="595959"/>
          </w:rPr>
          <w:fldChar w:fldCharType="end"/>
        </w:r>
        <w:r>
          <w:rPr>
            <w:color w:themeColor="text1" w:themeTint="a6" w:val="595959"/>
            <w:sz w:val="22"/>
            <w:szCs w:val="22"/>
          </w:rPr>
          <w:t xml:space="preserve"> |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NUMPAGES </w:instrText>
        </w:r>
        <w:r>
          <w:rPr>
            <w:sz w:val="22"/>
            <w:shd w:fill="E6E6E6" w:val="clear"/>
            <w:szCs w:val="22"/>
            <w:color w:themeColor="text1" w:themeTint="a6" w:val="595959"/>
          </w:rPr>
          <w:fldChar w:fldCharType="separate"/>
        </w:r>
        <w:r>
          <w:rPr>
            <w:sz w:val="22"/>
            <w:shd w:fill="E6E6E6" w:val="clear"/>
            <w:szCs w:val="22"/>
            <w:color w:themeColor="text1" w:themeTint="a6" w:val="595959"/>
          </w:rPr>
          <w:t>14</w:t>
        </w:r>
        <w:r>
          <w:rPr>
            <w:sz w:val="22"/>
            <w:shd w:fill="E6E6E6" w:val="clear"/>
            <w:szCs w:val="22"/>
            <w:color w:themeColor="text1" w:themeTint="a6"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Atualização: dezembro/2023</w:t>
        </w:r>
      </w:p>
      <w:p>
        <w:pPr>
          <w:pStyle w:val="Footer"/>
          <w:rPr>
            <w:rFonts w:ascii="Rawline" w:hAnsi="Rawline"/>
            <w:color w:themeColor="text2" w:themeShade="80" w:val="0F243E"/>
            <w:sz w:val="22"/>
            <w:szCs w:val="22"/>
          </w:rPr>
        </w:pPr>
        <w:r>
          <w:rPr>
            <w:rFonts w:cs="Arial" w:ascii="Rawline" w:hAnsi="Rawline"/>
            <w:sz w:val="12"/>
            <w:szCs w:val="12"/>
          </w:rPr>
          <w:t>Termo de Referência Aquisições – Licitação - Modelo para Pregão Eletrônico</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 (versão dezembro/2022)</w:t>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2"/>
          </w:rPr>
        </w:pPr>
        <w:r>
          <w:rPr>
            <w:color w:themeColor="text1" w:themeTint="80" w:val="7F7F7F"/>
            <w:spacing w:val="60"/>
            <w:sz w:val="22"/>
            <w:szCs w:val="22"/>
          </w:rPr>
          <w:tab/>
          <w:tab/>
        </w:r>
        <w:r>
          <w:rPr>
            <w:color w:themeColor="text1" w:themeTint="a6" w:val="595959"/>
            <w:spacing w:val="60"/>
            <w:sz w:val="22"/>
            <w:szCs w:val="22"/>
          </w:rPr>
          <w:t>Página</w:t>
        </w:r>
        <w:r>
          <w:rPr>
            <w:color w:themeColor="text1" w:themeTint="a6" w:val="595959"/>
            <w:sz w:val="22"/>
            <w:szCs w:val="22"/>
          </w:rPr>
          <w:t xml:space="preserve">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PAGE </w:instrText>
        </w:r>
        <w:r>
          <w:rPr>
            <w:sz w:val="22"/>
            <w:shd w:fill="E6E6E6" w:val="clear"/>
            <w:szCs w:val="22"/>
            <w:color w:themeColor="text1" w:themeTint="a6" w:val="595959"/>
          </w:rPr>
          <w:fldChar w:fldCharType="separate"/>
        </w:r>
        <w:r>
          <w:rPr>
            <w:sz w:val="22"/>
            <w:shd w:fill="E6E6E6" w:val="clear"/>
            <w:szCs w:val="22"/>
            <w:color w:themeColor="text1" w:themeTint="a6" w:val="595959"/>
          </w:rPr>
          <w:t>13</w:t>
        </w:r>
        <w:r>
          <w:rPr>
            <w:sz w:val="22"/>
            <w:shd w:fill="E6E6E6" w:val="clear"/>
            <w:szCs w:val="22"/>
            <w:color w:themeColor="text1" w:themeTint="a6" w:val="595959"/>
          </w:rPr>
          <w:fldChar w:fldCharType="end"/>
        </w:r>
        <w:r>
          <w:rPr>
            <w:color w:themeColor="text1" w:themeTint="a6" w:val="595959"/>
            <w:sz w:val="22"/>
            <w:szCs w:val="22"/>
          </w:rPr>
          <w:t xml:space="preserve"> |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NUMPAGES </w:instrText>
        </w:r>
        <w:r>
          <w:rPr>
            <w:sz w:val="22"/>
            <w:shd w:fill="E6E6E6" w:val="clear"/>
            <w:szCs w:val="22"/>
            <w:color w:themeColor="text1" w:themeTint="a6" w:val="595959"/>
          </w:rPr>
          <w:fldChar w:fldCharType="separate"/>
        </w:r>
        <w:r>
          <w:rPr>
            <w:sz w:val="22"/>
            <w:shd w:fill="E6E6E6" w:val="clear"/>
            <w:szCs w:val="22"/>
            <w:color w:themeColor="text1" w:themeTint="a6" w:val="595959"/>
          </w:rPr>
          <w:t>14</w:t>
        </w:r>
        <w:r>
          <w:rPr>
            <w:sz w:val="22"/>
            <w:shd w:fill="E6E6E6" w:val="clear"/>
            <w:szCs w:val="22"/>
            <w:color w:themeColor="text1" w:themeTint="a6"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Atualização: dezembro/2023</w:t>
        </w:r>
      </w:p>
      <w:p>
        <w:pPr>
          <w:pStyle w:val="Footer"/>
          <w:rPr>
            <w:rFonts w:ascii="Rawline" w:hAnsi="Rawline"/>
            <w:color w:themeColor="text2" w:themeShade="80" w:val="0F243E"/>
            <w:sz w:val="22"/>
            <w:szCs w:val="22"/>
          </w:rPr>
        </w:pPr>
        <w:r>
          <w:rPr>
            <w:rFonts w:cs="Arial" w:ascii="Rawline" w:hAnsi="Rawline"/>
            <w:sz w:val="12"/>
            <w:szCs w:val="12"/>
          </w:rPr>
          <w:t>Termo de Referência Aquisições – Licitação - Modelo para Pregão Eletrônico</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 (versão dezembro/2022)</w:t>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TERMO DE REFERÊNCIA - AQUISIÇÕES - LICITAÇÃO</w:t>
    </w:r>
  </w:p>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TERMO DE REFERÊNCIA - AQUISIÇÕES - LICITAÇÃO</w:t>
    </w:r>
  </w:p>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4"/>
  </w:num>
  <w:num w:numId="124">
    <w:abstractNumId w:val="4"/>
  </w:num>
  <w:num w:numId="125">
    <w:abstractNumId w:val="4"/>
  </w:num>
  <w:num w:numId="126">
    <w:abstractNumId w:val="4"/>
  </w:num>
  <w:num w:numId="127">
    <w:abstractNumId w:val="4"/>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4"/>
  </w:num>
  <w:num w:numId="136">
    <w:abstractNumId w:val="4"/>
  </w:num>
  <w:num w:numId="137">
    <w:abstractNumId w:val="4"/>
  </w:num>
  <w:num w:numId="138">
    <w:abstractNumId w:val="4"/>
  </w:num>
  <w:num w:numId="139">
    <w:abstractNumId w:val="4"/>
  </w:num>
  <w:num w:numId="140">
    <w:abstractNumId w:val="4"/>
  </w:num>
  <w:num w:numId="141">
    <w:abstractNumId w:val="4"/>
  </w:num>
  <w:num w:numId="142">
    <w:abstractNumId w:val="4"/>
  </w:num>
  <w:num w:numId="143">
    <w:abstractNumId w:val="4"/>
  </w:num>
  <w:num w:numId="144">
    <w:abstractNumId w:val="4"/>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 w:numId="219">
    <w:abstractNumId w:val="4"/>
  </w:num>
  <w:num w:numId="220">
    <w:abstractNumId w:val="4"/>
  </w:num>
  <w:num w:numId="221">
    <w:abstractNumId w:val="4"/>
  </w:num>
  <w:num w:numId="222">
    <w:abstractNumId w:val="4"/>
  </w:num>
  <w:num w:numId="223">
    <w:abstractNumId w:val="4"/>
  </w:num>
  <w:num w:numId="224">
    <w:abstractNumId w:val="4"/>
  </w:num>
  <w:num w:numId="225">
    <w:abstractNumId w:val="4"/>
  </w:num>
  <w:num w:numId="226">
    <w:abstractNumId w:val="4"/>
  </w:num>
  <w:num w:numId="227">
    <w:abstractNumId w:val="4"/>
  </w:num>
  <w:num w:numId="228">
    <w:abstractNumId w:val="4"/>
  </w:num>
  <w:num w:numId="229">
    <w:abstractNumId w:val="4"/>
  </w:num>
  <w:num w:numId="230">
    <w:abstractNumId w:val="4"/>
  </w:num>
  <w:num w:numId="231">
    <w:abstractNumId w:val="4"/>
  </w:num>
  <w:num w:numId="232">
    <w:abstractNumId w:val="4"/>
  </w:num>
  <w:num w:numId="233">
    <w:abstractNumId w:val="4"/>
  </w:num>
  <w:num w:numId="234">
    <w:abstractNumId w:val="4"/>
  </w:num>
  <w:num w:numId="235">
    <w:abstractNumId w:val="4"/>
  </w:num>
  <w:num w:numId="236">
    <w:abstractNumId w:val="4"/>
  </w:num>
  <w:num w:numId="237">
    <w:abstractNumId w:val="4"/>
  </w:num>
  <w:num w:numId="238">
    <w:abstractNumId w:val="4"/>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Internet Link"/>
    <w:qFormat/>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881f44"/>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424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da3ef1"/>
    <w:rPr>
      <w:rFonts w:ascii="Arial" w:hAnsi="Arial" w:eastAsia="Arial" w:cs="Arial"/>
      <w:i/>
      <w:iCs/>
      <w:color w:val="FF0000"/>
      <w:lang w:eastAsia="pt-BR"/>
    </w:rPr>
  </w:style>
  <w:style w:type="character" w:styleId="Nivel3Char" w:customStyle="1">
    <w:name w:val="Nivel 3 Char"/>
    <w:basedOn w:val="DefaultParagraphFont"/>
    <w:link w:val="Nivel3"/>
    <w:qFormat/>
    <w:rsid w:val="005d30b6"/>
    <w:rPr>
      <w:rFonts w:ascii="Arial" w:hAnsi="Arial" w:cs="Arial"/>
      <w:color w:val="000000"/>
      <w:lang w:eastAsia="pt-BR"/>
    </w:rPr>
  </w:style>
  <w:style w:type="character" w:styleId="Nvel3-RChar" w:customStyle="1">
    <w:name w:val="Nível 3-R Char"/>
    <w:basedOn w:val="Nivel3Char"/>
    <w:link w:val="Nvel3-R"/>
    <w:qFormat/>
    <w:rsid w:val="00775cfb"/>
    <w:rPr>
      <w:rFonts w:ascii="Arial" w:hAnsi="Arial" w:cs="Arial"/>
      <w:i/>
      <w:iCs/>
      <w:color w:val="FF0000"/>
      <w:lang w:eastAsia="pt-BR"/>
    </w:rPr>
  </w:style>
  <w:style w:type="character" w:styleId="Nvel4-RChar" w:customStyle="1">
    <w:name w:val="Nível 4-R Char"/>
    <w:basedOn w:val="Nivel4Char"/>
    <w:link w:val="Nvel4-R"/>
    <w:qFormat/>
    <w:rsid w:val="00da3ef1"/>
    <w:rPr>
      <w:rFonts w:ascii="Arial" w:hAnsi="Arial" w:cs="Arial"/>
      <w:i/>
      <w:iCs/>
      <w:color w:val="FF0000"/>
      <w:lang w:eastAsia="pt-BR"/>
    </w:rPr>
  </w:style>
  <w:style w:type="character" w:styleId="InternetLink1" w:customStyle="1">
    <w:name w:val="Internet Link1"/>
    <w:basedOn w:val="DefaultParagraphFont"/>
    <w:uiPriority w:val="99"/>
    <w:unhideWhenUsed/>
    <w:qFormat/>
    <w:rsid w:val="00dc41dd"/>
    <w:rPr>
      <w:color w:themeColor="hyperlink" w:val="0000FF"/>
      <w:u w:val="single"/>
    </w:rPr>
  </w:style>
  <w:style w:type="character" w:styleId="Nvel1-SemNumChar" w:customStyle="1">
    <w:name w:val="Nível 1-Sem Num Char"/>
    <w:basedOn w:val="Nivel01Char"/>
    <w:link w:val="Nvel1-SemNum"/>
    <w:qFormat/>
    <w:rsid w:val="00881f44"/>
    <w:rPr>
      <w:rFonts w:ascii="Arial" w:hAnsi="Arial" w:eastAsia=""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link w:val="Nivel3-erro"/>
    <w:qFormat/>
    <w:rsid w:val="005b0afb"/>
    <w:rPr>
      <w:rFonts w:ascii="Arial" w:hAnsi="Arial" w:cs="Tahoma"/>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tion">
    <w:name w:val="Mention"/>
    <w:basedOn w:val="DefaultParagraphFont"/>
    <w:uiPriority w:val="99"/>
    <w:unhideWhenUsed/>
    <w:qFormat/>
    <w:rsid w:val="002804a7"/>
    <w:rPr>
      <w:color w:val="2B579A"/>
      <w:shd w:fill="E6E6E6" w:val="clear"/>
    </w:rPr>
  </w:style>
  <w:style w:type="character" w:styleId="UnresolvedMention">
    <w:name w:val="Unresolved Mention"/>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link w:val="Nvel1-SemNumPreto"/>
    <w:qFormat/>
    <w:rsid w:val="00036ad7"/>
    <w:rPr>
      <w:rFonts w:ascii="Arial" w:hAnsi="Arial" w:eastAsia="" w:cs="Arial" w:eastAsiaTheme="majorEastAsia"/>
      <w:b/>
      <w:bCs/>
      <w:color w:themeColor="text2" w:themeShade="bf" w:val="FF0000"/>
      <w:spacing w:val="5"/>
      <w:kern w:val="2"/>
      <w:sz w:val="52"/>
      <w:szCs w:val="52"/>
      <w:lang w:eastAsia="zh-CN" w:bidi="hi-IN"/>
    </w:rPr>
  </w:style>
  <w:style w:type="character" w:styleId="Marcadores">
    <w:name w:val="Marcadores"/>
    <w:qFormat/>
    <w:rPr>
      <w:rFonts w:ascii="OpenSymbol" w:hAnsi="OpenSymbol" w:eastAsia="OpenSymbol" w:cs="OpenSymbol"/>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InternetLink9">
    <w:name w:val="Internet Link9"/>
    <w:qFormat/>
    <w:rPr>
      <w:color w:val="000080"/>
      <w:u w:val="single"/>
    </w:rPr>
  </w:style>
  <w:style w:type="character" w:styleId="InternetLink10">
    <w:name w:val="Internet Link10"/>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3"/>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CommentText">
    <w:name w:val="annotation text"/>
    <w:basedOn w:val="Normal"/>
    <w:link w:val="TextodecomentrioChar"/>
    <w:uiPriority w:val="99"/>
    <w:unhideWhenUsed/>
    <w:rsid w:val="00d30a43"/>
    <w:pPr/>
    <w:rPr>
      <w:sz w:val="20"/>
      <w:szCs w:val="20"/>
    </w:rPr>
  </w:style>
  <w:style w:type="paragraph" w:styleId="annotationsubject">
    <w:name w:val="annotation subject"/>
    <w:basedOn w:val="CommentText"/>
    <w:next w:val="Comment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881f44"/>
    <w:pPr>
      <w:numPr>
        <w:ilvl w:val="0"/>
        <w:numId w:val="4"/>
      </w:numPr>
      <w:tabs>
        <w:tab w:val="clear" w:pos="708"/>
        <w:tab w:val="left" w:pos="567" w:leader="none"/>
      </w:tabs>
      <w:spacing w:lineRule="auto" w:line="276" w:before="240" w:after="120"/>
      <w:ind w:hanging="0"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autoRedefine/>
    <w:qFormat/>
    <w:rsid w:val="0084242c"/>
    <w:pPr>
      <w:numPr>
        <w:ilvl w:val="1"/>
        <w:numId w:val="2"/>
      </w:numPr>
      <w:spacing w:lineRule="auto" w:line="276" w:before="120" w:after="120"/>
      <w:ind w:hanging="0" w:left="0"/>
      <w:jc w:val="both"/>
    </w:pPr>
    <w:rPr>
      <w:rFonts w:ascii="Arial" w:hAnsi="Arial" w:eastAsia="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autoRedefine/>
    <w:qFormat/>
    <w:rsid w:val="005d30b6"/>
    <w:pPr>
      <w:numPr>
        <w:ilvl w:val="2"/>
        <w:numId w:val="2"/>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autoRedefine/>
    <w:qFormat/>
    <w:rsid w:val="00da3ef1"/>
    <w:pPr>
      <w:ind w:hanging="0" w:left="567"/>
    </w:pPr>
    <w:rPr>
      <w:color w:val="auto"/>
    </w:rPr>
  </w:style>
  <w:style w:type="paragraph" w:styleId="Nivel5" w:customStyle="1">
    <w:name w:val="Nivel 5"/>
    <w:basedOn w:val="Nivel4"/>
    <w:autoRedefine/>
    <w:qFormat/>
    <w:rsid w:val="00da3ef1"/>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f93d80"/>
    <w:pPr>
      <w:spacing w:lineRule="auto" w:line="259" w:before="60" w:after="60"/>
      <w:ind w:left="0"/>
      <w:contextualSpacing w:val="false"/>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da3ef1"/>
    <w:pPr/>
    <w:rPr>
      <w:i/>
      <w:iCs/>
      <w:color w:val="FF0000"/>
    </w:rPr>
  </w:style>
  <w:style w:type="paragraph" w:styleId="Nvel3-R" w:customStyle="1">
    <w:name w:val="Nível 3-R"/>
    <w:basedOn w:val="Nivel3"/>
    <w:link w:val="Nvel3-RChar"/>
    <w:autoRedefine/>
    <w:qFormat/>
    <w:rsid w:val="00775cfb"/>
    <w:pPr/>
    <w:rPr>
      <w:i/>
      <w:iCs/>
      <w:color w:val="FF0000"/>
    </w:rPr>
  </w:style>
  <w:style w:type="paragraph" w:styleId="Nvel4-R" w:customStyle="1">
    <w:name w:val="Nível 4-R"/>
    <w:basedOn w:val="Nivel4"/>
    <w:link w:val="Nvel4-RChar"/>
    <w:autoRedefine/>
    <w:qFormat/>
    <w:rsid w:val="00da3ef1"/>
    <w:pPr/>
    <w:rPr>
      <w:i/>
      <w:iCs/>
      <w:color w:val="FF0000"/>
    </w:rPr>
  </w:style>
  <w:style w:type="paragraph" w:styleId="Nvel1-SemNum" w:customStyle="1">
    <w:name w:val="Nível 1-Sem Num"/>
    <w:basedOn w:val="Nivel01"/>
    <w:link w:val="Nvel1-SemNumChar"/>
    <w:autoRedefine/>
    <w:qFormat/>
    <w:rsid w:val="00881f44"/>
    <w:pPr>
      <w:numPr>
        <w:ilvl w:val="0"/>
        <w:numId w:val="0"/>
      </w:numPr>
      <w:ind w:hanging="0" w:left="0"/>
      <w:outlineLvl w:val="1"/>
    </w:pPr>
    <w:rPr>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Nivel3-erro" w:customStyle="1">
    <w:name w:val="Nivel 3-erro"/>
    <w:basedOn w:val="Nivel3"/>
    <w:link w:val="Nivel3-erroChar"/>
    <w:qFormat/>
    <w:rsid w:val="005b0afb"/>
    <w:pPr>
      <w:numPr>
        <w:ilvl w:val="2"/>
        <w:numId w:val="1"/>
      </w:numPr>
      <w:spacing w:lineRule="auto" w:line="240"/>
      <w:ind w:hanging="0" w:left="425"/>
    </w:pPr>
    <w:rPr>
      <w:rFonts w:cs="Tahoma"/>
      <w:color w:val="auto"/>
      <w:szCs w:val="24"/>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036ad7"/>
    <w:pPr/>
    <w:rPr>
      <w:color w:themeColor="accent1" w:themeShade="bf" w:val="auto"/>
      <w:lang w:eastAsia="zh-CN" w:bidi="hi-IN"/>
    </w:rPr>
  </w:style>
  <w:style w:type="paragraph" w:styleId="Contedodatabela">
    <w:name w:val="Conteúdo da tabela"/>
    <w:basedOn w:val="Normal"/>
    <w:qFormat/>
    <w:pPr>
      <w:suppressLineNumbers/>
    </w:pPr>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s://www.gov.br/empresas-e-negocios/pt-br/empreendedor" TargetMode="External"/><Relationship Id="rId8" Type="http://schemas.openxmlformats.org/officeDocument/2006/relationships/hyperlink" Target="https://www.gov.br/economia/pt-br/assuntos/drei/legislacao/arquivos/legislacoes-federais/indrei772020.pdf" TargetMode="External"/><Relationship Id="rId9"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customXml/itemProps3.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7BC89-5B8C-4EEE-8246-9B4C054A5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Application>LibreOffice/24.8.0.3$Windows_X86_64 LibreOffice_project/0bdf1299c94fe897b119f97f3c613e9dca6be583</Application>
  <AppVersion>15.0000</AppVersion>
  <Pages>14</Pages>
  <Words>5181</Words>
  <Characters>29011</Characters>
  <CharactersWithSpaces>33787</CharactersWithSpaces>
  <Paragraphs>341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2023-12-21T22:05:00Z</dcterms:created>
  <dc:creator/>
  <dc:description/>
  <dc:language>pt-BR</dc:language>
  <cp:lastModifiedBy/>
  <cp:lastPrinted>2024-11-01T11:27:19Z</cp:lastPrinted>
  <dcterms:modified xsi:type="dcterms:W3CDTF">2025-01-13T13:03:31Z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